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394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南京鼓楼医院集团仪征医院</w:t>
      </w:r>
    </w:p>
    <w:p w14:paraId="5926AA3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消防设施检测、安全评估项目</w:t>
      </w:r>
    </w:p>
    <w:p w14:paraId="0053048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公开询比价</w:t>
      </w:r>
      <w:r>
        <w:rPr>
          <w:rFonts w:hint="eastAsia"/>
        </w:rPr>
        <w:t>文件</w:t>
      </w:r>
    </w:p>
    <w:p w14:paraId="30EB7BC2">
      <w:pPr>
        <w:pStyle w:val="4"/>
        <w:bidi w:val="0"/>
        <w:jc w:val="left"/>
        <w:rPr>
          <w:rFonts w:hint="eastAsia"/>
        </w:rPr>
      </w:pPr>
      <w:r>
        <w:rPr>
          <w:rFonts w:hint="eastAsia"/>
        </w:rPr>
        <w:t>一 、项目要求</w:t>
      </w:r>
    </w:p>
    <w:p w14:paraId="720616E8">
      <w:pPr>
        <w:pStyle w:val="5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项目概况</w:t>
      </w:r>
    </w:p>
    <w:p w14:paraId="3719F2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南京鼓楼医院集团仪征医院消防设施检测、安全评估项目</w:t>
      </w:r>
    </w:p>
    <w:p w14:paraId="74624B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2、采购方式：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本次采购采用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公开询比价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采购方式。</w:t>
      </w:r>
    </w:p>
    <w:p w14:paraId="3CCCFB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评议方法：合理低价法，在考虑方案合理、响应快速的前提下，排除恶意竞价的情况下，以最低价优先成交。</w:t>
      </w:r>
    </w:p>
    <w:p w14:paraId="703FA8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3、采购内容：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1020"/>
        <w:gridCol w:w="1260"/>
        <w:gridCol w:w="1312"/>
      </w:tblGrid>
      <w:tr w14:paraId="302B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62BC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20" w:type="dxa"/>
            <w:vAlign w:val="center"/>
          </w:tcPr>
          <w:p w14:paraId="1A36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60" w:type="dxa"/>
          </w:tcPr>
          <w:p w14:paraId="431E12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1312" w:type="dxa"/>
            <w:vAlign w:val="top"/>
          </w:tcPr>
          <w:p w14:paraId="113006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最高限价</w:t>
            </w:r>
          </w:p>
        </w:tc>
      </w:tr>
      <w:tr w14:paraId="547A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349A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消防设施检测</w:t>
            </w:r>
          </w:p>
        </w:tc>
        <w:tc>
          <w:tcPr>
            <w:tcW w:w="1020" w:type="dxa"/>
            <w:vAlign w:val="center"/>
          </w:tcPr>
          <w:p w14:paraId="7D7F1C7E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5E5F7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5AB66E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29F8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6A1E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消防安全评估</w:t>
            </w:r>
          </w:p>
        </w:tc>
        <w:tc>
          <w:tcPr>
            <w:tcW w:w="1020" w:type="dxa"/>
            <w:vAlign w:val="center"/>
          </w:tcPr>
          <w:p w14:paraId="06574844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 w14:paraId="67B003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E23B4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5767D3">
      <w:pPr>
        <w:pStyle w:val="5"/>
        <w:bidi w:val="0"/>
        <w:jc w:val="left"/>
        <w:rPr>
          <w:rFonts w:hint="eastAsia" w:eastAsia="仿宋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具体</w:t>
      </w:r>
      <w:r>
        <w:rPr>
          <w:rFonts w:hint="eastAsia"/>
        </w:rPr>
        <w:t>要求：</w:t>
      </w:r>
      <w:r>
        <w:rPr>
          <w:rFonts w:hint="eastAsia"/>
          <w:lang w:val="en-US" w:eastAsia="zh-CN"/>
        </w:rPr>
        <w:t>详见附件</w:t>
      </w:r>
    </w:p>
    <w:p w14:paraId="1177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响应报价要求：</w:t>
      </w:r>
    </w:p>
    <w:p w14:paraId="4F9067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1、提供正规的、装订好的报价响应文件</w:t>
      </w:r>
    </w:p>
    <w:p w14:paraId="087C0D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2、提供运行服务响应方案、响应时间等。</w:t>
      </w:r>
    </w:p>
    <w:p w14:paraId="6ABF2965">
      <w:pPr>
        <w:pStyle w:val="1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3、本次采购活动采用一次性报价。</w:t>
      </w:r>
    </w:p>
    <w:p w14:paraId="3B1CB22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eastAsia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技术要求：</w:t>
      </w:r>
    </w:p>
    <w:p w14:paraId="1D88F325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firstLine="480" w:firstLineChars="200"/>
        <w:jc w:val="left"/>
        <w:textAlignment w:val="auto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详见附件</w:t>
      </w:r>
    </w:p>
    <w:p w14:paraId="6B60AF54">
      <w:pPr>
        <w:pStyle w:val="5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合同期限及支付方式</w:t>
      </w:r>
    </w:p>
    <w:p w14:paraId="7EDC3F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1、协议生效期：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合同生效期：3年。</w:t>
      </w:r>
    </w:p>
    <w:p w14:paraId="0DC1CB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2、支付方式：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详见附件：合同模板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F125D3E">
      <w:pPr>
        <w:pStyle w:val="4"/>
        <w:bidi w:val="0"/>
        <w:jc w:val="left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公开询比价</w:t>
      </w:r>
      <w:r>
        <w:rPr>
          <w:rFonts w:hint="eastAsia"/>
        </w:rPr>
        <w:t>须知</w:t>
      </w:r>
    </w:p>
    <w:p w14:paraId="49833EE1">
      <w:pPr>
        <w:pStyle w:val="5"/>
        <w:bidi w:val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本次比价采用一次性报价，报</w:t>
      </w:r>
      <w:r>
        <w:rPr>
          <w:rFonts w:hint="eastAsia"/>
        </w:rPr>
        <w:t>价文件要求</w:t>
      </w:r>
      <w:r>
        <w:rPr>
          <w:rFonts w:hint="eastAsia"/>
          <w:lang w:val="en-US" w:eastAsia="zh-CN"/>
        </w:rPr>
        <w:t>一式四份，要求如下：</w:t>
      </w:r>
    </w:p>
    <w:p w14:paraId="02816E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1、若法定代表人参加，须提供本人身份证复印件(原件备查)；若授权代表参加的，须提供《法人授权书》原件和授权代表身份证复印件（原件备查）</w:t>
      </w:r>
    </w:p>
    <w:p w14:paraId="6FA192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2、营业执照副本(复印件加盖应答人公章)</w:t>
      </w:r>
    </w:p>
    <w:p w14:paraId="49370A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3、技术参数响应表</w:t>
      </w:r>
    </w:p>
    <w:p w14:paraId="6FB4A4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4、报价表</w:t>
      </w:r>
    </w:p>
    <w:p w14:paraId="50E744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5、生产企业资质</w:t>
      </w:r>
    </w:p>
    <w:p w14:paraId="0D058588">
      <w:pPr>
        <w:pStyle w:val="1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6、完税证明</w:t>
      </w:r>
    </w:p>
    <w:p w14:paraId="03CA9A66">
      <w:pPr>
        <w:pStyle w:val="1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7、信用中国网站信用证明</w:t>
      </w:r>
    </w:p>
    <w:p w14:paraId="3D205E1C">
      <w:pPr>
        <w:pStyle w:val="5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报价文件递交</w:t>
      </w:r>
    </w:p>
    <w:p w14:paraId="002590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1、递交报价文件时间、地点：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6月5日16</w:t>
      </w:r>
      <w:r>
        <w:rPr>
          <w:rFonts w:hint="eastAsia" w:ascii="仿宋" w:hAnsi="仿宋" w:eastAsia="仿宋" w:cs="仿宋"/>
          <w:sz w:val="24"/>
          <w:szCs w:val="24"/>
        </w:rPr>
        <w:t>：00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招采部办公室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可采取邮寄或现场送达等方式。</w:t>
      </w:r>
    </w:p>
    <w:p w14:paraId="4AB6F9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商务咨询联系</w:t>
      </w:r>
      <w:r>
        <w:rPr>
          <w:rFonts w:hint="eastAsia" w:ascii="仿宋" w:hAnsi="仿宋" w:eastAsia="仿宋" w:cs="仿宋"/>
          <w:sz w:val="24"/>
          <w:szCs w:val="24"/>
        </w:rPr>
        <w:t>电话：0514-83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211533/18762789057联系人：董老师</w:t>
      </w:r>
    </w:p>
    <w:p w14:paraId="0DA39ECF">
      <w:pPr>
        <w:pStyle w:val="1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技术方面联系电话：13952528135（胡老师）</w:t>
      </w:r>
    </w:p>
    <w:p w14:paraId="7B019E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电话时间：工作日9:00-10:30,15:00-16:30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E1818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报价文件应于规定的截止时间之前密封送达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南京鼓楼医院集团仪征医院采购采购部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37C79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在要求提交报价文件的截止时间后送达的报价文件，将拒收。</w:t>
      </w:r>
    </w:p>
    <w:p w14:paraId="46A033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报价文件应装入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密封</w:t>
      </w:r>
      <w:r>
        <w:rPr>
          <w:rFonts w:hint="eastAsia" w:ascii="仿宋" w:hAnsi="仿宋" w:eastAsia="仿宋" w:cs="仿宋"/>
          <w:sz w:val="24"/>
          <w:szCs w:val="24"/>
        </w:rPr>
        <w:t>袋，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密封袋</w:t>
      </w:r>
      <w:r>
        <w:rPr>
          <w:rFonts w:hint="eastAsia" w:ascii="仿宋" w:hAnsi="仿宋" w:eastAsia="仿宋" w:cs="仿宋"/>
          <w:sz w:val="24"/>
          <w:szCs w:val="24"/>
        </w:rPr>
        <w:t>封面注明项目名称、供应商名称、地址、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>电话等。</w:t>
      </w:r>
    </w:p>
    <w:p w14:paraId="008BEF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（三）报价保证金：人民币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贰仟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元整。递交保证金须标明项目名称、编号及参与竞争方公司名称。</w:t>
      </w:r>
    </w:p>
    <w:p w14:paraId="77648C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报价保证金递交时间：2026年6月5日16:00前。</w:t>
      </w:r>
    </w:p>
    <w:p w14:paraId="589612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1.报价保证金采用电汇、汇票、转账支票等转账方式提交。</w:t>
      </w:r>
    </w:p>
    <w:p w14:paraId="4137AF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名称：南京鼓楼医院集团仪征医院有限公司</w:t>
      </w:r>
    </w:p>
    <w:p w14:paraId="0ABA82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开户行：建设银行仪征化纤分理处</w:t>
      </w:r>
    </w:p>
    <w:p w14:paraId="0E8828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账号：32001747038052502112</w:t>
      </w:r>
    </w:p>
    <w:p w14:paraId="6DAC9E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2.未按规定提交报价保证金的响应文件，将被视为无效响应。报价保证金有效期与报价文件有效期一致。</w:t>
      </w:r>
    </w:p>
    <w:p w14:paraId="6ADEC0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3.未成交的供应商的报价保证金，将在成交后的30个工作日内予以退回(无息)。</w:t>
      </w:r>
    </w:p>
    <w:p w14:paraId="309D63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4.成交的供应商的报价保证金，在合同签订后，即转为履约保证金，待货物运送、安装结束验收合格并经审计后15个工作日内退回。</w:t>
      </w:r>
    </w:p>
    <w:p w14:paraId="40EF64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5.供应商在成交后未按报价文件规定与采购人签订购销合同时，供应商的报价保证金将被采购人扣缴。</w:t>
      </w:r>
    </w:p>
    <w:p w14:paraId="4637393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75792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639A8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采购采购部</w:t>
      </w:r>
    </w:p>
    <w:p w14:paraId="12EDB2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2026年5月29日</w:t>
      </w:r>
      <w:bookmarkStart w:id="0" w:name="_GoBack"/>
      <w:bookmarkEnd w:id="0"/>
    </w:p>
    <w:p w14:paraId="547D8A79"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2CA70544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0D4F937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center"/>
        <w:rPr>
          <w:rFonts w:hint="default" w:ascii="Calibri" w:hAnsi="Calibri" w:eastAsia="宋体" w:cs="Times New Roman"/>
          <w:kern w:val="2"/>
          <w:sz w:val="44"/>
          <w:szCs w:val="44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建筑消防设施年度检测、安全评估项目需求</w:t>
      </w:r>
    </w:p>
    <w:p w14:paraId="696C858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22EE40CA"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项目基本情况：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仪征医院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消控室现有海湾和蓝天2套主机系统。现须有资质的消防检测、评估机构对医院消防设施进行年度检测和安全评估。</w:t>
      </w:r>
    </w:p>
    <w:p w14:paraId="6B1A3EA6"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项目内容及需求：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"/>
        </w:rPr>
        <w:t>本项目范围是仪征医院范围内的所有消防设施及消防系统，主要包括以下内容：火灾自动报警系统、自动喷淋灭火冷却系统、消火栓系统、气体灭火系统、防火分隔系统、防排烟系统、应急照明和疏散指示系统、消防通讯设备、其他消防设施的检测、评估，并出具相关的消防年度检测报告、安全评估报告。 本项目为一个整体，响应人须对全部内容进行响应，不得分拆。</w:t>
      </w:r>
    </w:p>
    <w:p w14:paraId="0DC10AE6">
      <w:pPr>
        <w:keepNext w:val="0"/>
        <w:keepLines w:val="0"/>
        <w:widowControl w:val="0"/>
        <w:suppressLineNumbers w:val="0"/>
        <w:tabs>
          <w:tab w:val="left" w:pos="420"/>
          <w:tab w:val="left" w:pos="1155"/>
        </w:tabs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三、响应材料要求：</w:t>
      </w:r>
    </w:p>
    <w:p w14:paraId="60B87F0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"/>
        </w:rPr>
        <w:t>营业执照副本（复印件加盖公章）；</w:t>
      </w:r>
    </w:p>
    <w:p w14:paraId="66AD715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"/>
        </w:rPr>
        <w:t>2、社会消防技术服务信息系统(https://shhxf.119.gov.cn/）上注册的单位注册登记截图；</w:t>
      </w:r>
    </w:p>
    <w:p w14:paraId="7177652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"/>
        </w:rPr>
        <w:t>3、项目负责人注册消防工程师资格证书；</w:t>
      </w:r>
    </w:p>
    <w:p w14:paraId="6B283CF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"/>
        </w:rPr>
        <w:t>4、法定代表人授权委托书（法定代表人亲自参与本项目除外）；</w:t>
      </w:r>
    </w:p>
    <w:p w14:paraId="5A79F4A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"/>
        </w:rPr>
        <w:t>5、法定代表人身份证复印件；</w:t>
      </w:r>
    </w:p>
    <w:p w14:paraId="79A0CDE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"/>
        </w:rPr>
        <w:t>6、授权代表身份证复印件（法定代表人亲自参与本项目的除外）；</w:t>
      </w:r>
    </w:p>
    <w:p w14:paraId="662A7C1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"/>
        </w:rPr>
        <w:t>7、参加本次活动前3年内在经营活动中没有重大违法记录的书面声明；</w:t>
      </w:r>
    </w:p>
    <w:p w14:paraId="63AB409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"/>
        </w:rPr>
        <w:t>8、提供文件内容应包含公司简介、资质证明、评估方法、检测技术手段、及相关费用。响应文件确保清晰、完整。</w:t>
      </w:r>
    </w:p>
    <w:p w14:paraId="299E123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四、评选方式：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合理低价法。</w:t>
      </w:r>
    </w:p>
    <w:p w14:paraId="320DE79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五、报价方式：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消防年度检测、安全评估按项目建筑面积包干报价（本项目报价为含税价）。</w:t>
      </w:r>
    </w:p>
    <w:p w14:paraId="31C5AD8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六、现场踏勘：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本次采购不统一组织响应人现场踏勘。响应人应自行安排考察现场。踏勘联系人：13952528135（胡老师）</w:t>
      </w:r>
    </w:p>
    <w:p w14:paraId="4F4FA909">
      <w:pPr>
        <w:pStyle w:val="9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spacing w:val="4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  <w:lang w:val="en-US" w:eastAsia="zh-CN" w:bidi="ar"/>
        </w:rPr>
        <w:t>七、响应文件提交时间：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"/>
        </w:rPr>
        <w:t>如上正文</w:t>
      </w:r>
    </w:p>
    <w:p w14:paraId="61223D6E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left"/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  <w:lang w:val="en-US" w:eastAsia="zh-CN" w:bidi="ar"/>
        </w:rPr>
        <w:t>八、其他补充事宜</w:t>
      </w:r>
    </w:p>
    <w:p w14:paraId="30B7EF41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"/>
        </w:rPr>
        <w:t>1、集中考察或召开答疑会：无。</w:t>
      </w:r>
    </w:p>
    <w:p w14:paraId="021381D4">
      <w:pPr>
        <w:pStyle w:val="17"/>
        <w:keepNext w:val="0"/>
        <w:keepLines w:val="0"/>
        <w:widowControl w:val="0"/>
        <w:suppressLineNumbers w:val="0"/>
        <w:adjustRightInd w:val="0"/>
        <w:snapToGrid w:val="0"/>
        <w:ind w:left="0" w:right="0" w:rightChars="0" w:firstLine="0" w:firstLineChars="0"/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8"/>
          <w:szCs w:val="28"/>
        </w:rPr>
        <w:t>2、付款方式：合同签订，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8"/>
          <w:szCs w:val="28"/>
          <w:lang w:eastAsia="zh-CN"/>
        </w:rPr>
        <w:t>中选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8"/>
          <w:szCs w:val="28"/>
        </w:rPr>
        <w:t>单位提交年度检测报告、安全评估报告，经院方确认无误后提供等额有效发票付清年度费用。</w:t>
      </w:r>
    </w:p>
    <w:p w14:paraId="24E0D845">
      <w:pPr>
        <w:pStyle w:val="17"/>
        <w:keepNext w:val="0"/>
        <w:keepLines w:val="0"/>
        <w:widowControl w:val="0"/>
        <w:suppressLineNumbers w:val="0"/>
        <w:adjustRightInd w:val="0"/>
        <w:snapToGrid w:val="0"/>
        <w:ind w:left="0" w:right="0" w:rightChars="0" w:firstLine="0" w:firstLineChars="0"/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8"/>
          <w:szCs w:val="28"/>
        </w:rPr>
        <w:t>3、未经医院同意，不得将医院资料让与、转让或者提供给第三方。</w:t>
      </w:r>
    </w:p>
    <w:p w14:paraId="0F28CF3E">
      <w:pPr>
        <w:pStyle w:val="9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Calibri" w:hAnsi="Calibri" w:eastAsia="宋体" w:cs="Times New Roman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b w:val="0"/>
          <w:bCs w:val="0"/>
          <w:spacing w:val="0"/>
          <w:kern w:val="2"/>
          <w:sz w:val="28"/>
          <w:szCs w:val="28"/>
          <w:lang w:val="en-US" w:eastAsia="zh-CN" w:bidi="ar"/>
        </w:rPr>
        <w:t xml:space="preserve"> </w:t>
      </w:r>
    </w:p>
    <w:p w14:paraId="0D6BA410">
      <w:pPr>
        <w:pStyle w:val="9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Calibri" w:hAnsi="Calibri" w:eastAsia="宋体" w:cs="Times New Roman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b w:val="0"/>
          <w:bCs w:val="0"/>
          <w:spacing w:val="0"/>
          <w:kern w:val="2"/>
          <w:sz w:val="28"/>
          <w:szCs w:val="28"/>
          <w:lang w:val="en-US" w:eastAsia="zh-CN" w:bidi="ar"/>
        </w:rPr>
        <w:t xml:space="preserve"> </w:t>
      </w:r>
    </w:p>
    <w:p w14:paraId="0FEED476">
      <w:pPr>
        <w:pStyle w:val="18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44"/>
          <w:szCs w:val="44"/>
        </w:rPr>
        <w:br w:type="page"/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具备履行合同所必需的设备和专业技术能力的证明材料</w:t>
      </w:r>
    </w:p>
    <w:p w14:paraId="2CA27384">
      <w:pPr>
        <w:pStyle w:val="16"/>
        <w:keepNext w:val="0"/>
        <w:keepLines w:val="0"/>
        <w:widowControl w:val="0"/>
        <w:suppressLineNumbers w:val="0"/>
        <w:adjustRightInd w:val="0"/>
        <w:snapToGrid w:val="0"/>
        <w:ind w:left="0" w:right="0" w:rightChars="0" w:firstLine="0" w:firstLineChars="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 </w:t>
      </w:r>
    </w:p>
    <w:p w14:paraId="46A3E59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center"/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基本资格条件承诺函</w:t>
      </w:r>
    </w:p>
    <w:p w14:paraId="055FCA2A">
      <w:pPr>
        <w:keepNext w:val="0"/>
        <w:keepLines w:val="0"/>
        <w:widowControl w:val="0"/>
        <w:suppressLineNumbers w:val="0"/>
        <w:tabs>
          <w:tab w:val="left" w:pos="6300"/>
        </w:tabs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73823C0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致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>南京鼓楼医院集团仪征医院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</w:p>
    <w:p w14:paraId="3EBA151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我公司参加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（项目名称），并郑重承诺：</w:t>
      </w:r>
    </w:p>
    <w:p w14:paraId="515034C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 w14:paraId="3615817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A0EC4B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3.我方在采购项目评审（评选）环节结束后，随时接受采购人的检查验证，配合提供相关证明材料，证明符合本采购文件的基本资格条件。</w:t>
      </w:r>
    </w:p>
    <w:p w14:paraId="70142A0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我方对以上承诺负全部法律责任。</w:t>
      </w:r>
    </w:p>
    <w:p w14:paraId="705A131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特此承诺。</w:t>
      </w:r>
    </w:p>
    <w:p w14:paraId="1F80C19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center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法定代表人（签章）：</w:t>
      </w:r>
    </w:p>
    <w:p w14:paraId="2022ED1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</w:t>
      </w:r>
    </w:p>
    <w:p w14:paraId="2DB9951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                  供应商名称（签章）：</w:t>
      </w:r>
    </w:p>
    <w:p w14:paraId="7A07563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 w14:paraId="529A00E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center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                年   月   日</w:t>
      </w:r>
    </w:p>
    <w:p w14:paraId="3F3205ED">
      <w:pPr>
        <w:pStyle w:val="9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Times New Roman"/>
          <w:bCs/>
          <w:spacing w:val="40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Cs/>
          <w:spacing w:val="40"/>
          <w:kern w:val="2"/>
          <w:sz w:val="24"/>
          <w:szCs w:val="24"/>
          <w:lang w:val="en-US" w:eastAsia="zh-CN" w:bidi="ar"/>
        </w:rPr>
        <w:t xml:space="preserve"> </w:t>
      </w:r>
    </w:p>
    <w:p w14:paraId="7D251240">
      <w:pPr>
        <w:pStyle w:val="9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Times New Roman"/>
          <w:bCs/>
          <w:spacing w:val="40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Cs/>
          <w:spacing w:val="40"/>
          <w:kern w:val="2"/>
          <w:sz w:val="24"/>
          <w:szCs w:val="24"/>
          <w:lang w:val="en-US" w:eastAsia="zh-CN" w:bidi="ar"/>
        </w:rPr>
        <w:t xml:space="preserve"> </w:t>
      </w:r>
    </w:p>
    <w:p w14:paraId="62444C35">
      <w:pPr>
        <w:pStyle w:val="9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rightChars="0" w:firstLine="0" w:firstLineChars="0"/>
        <w:jc w:val="both"/>
        <w:rPr>
          <w:rFonts w:hint="eastAsia" w:ascii="宋体" w:hAnsi="宋体" w:eastAsia="宋体" w:cs="Times New Roman"/>
          <w:bCs/>
          <w:spacing w:val="40"/>
          <w:kern w:val="2"/>
          <w:sz w:val="24"/>
          <w:szCs w:val="24"/>
        </w:rPr>
      </w:pPr>
    </w:p>
    <w:p w14:paraId="2B7F369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0F5C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CBB69C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</w:t>
      </w:r>
    </w:p>
    <w:p w14:paraId="7FE9D7ED"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1C4768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31F61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kern w:val="2"/>
          <w:sz w:val="72"/>
          <w:szCs w:val="72"/>
          <w:lang w:val="en-US" w:eastAsia="zh-CN" w:bidi="ar"/>
        </w:rPr>
        <w:t>建筑消防技术服务合同</w:t>
      </w:r>
    </w:p>
    <w:p w14:paraId="71BC34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5765FB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182BD2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71413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50ECD3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4315CE8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80" w:firstLineChars="4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项目名称：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>南京鼓楼医院集团仪征医院</w:t>
      </w:r>
    </w:p>
    <w:p w14:paraId="144059B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249" w:firstLineChars="7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>建筑消防设施年度检测及消防安全评估</w:t>
      </w:r>
    </w:p>
    <w:p w14:paraId="6B86CD8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80" w:firstLineChars="4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区域：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>江苏（省）扬州（市）仪征（区/县）</w:t>
      </w:r>
    </w:p>
    <w:p w14:paraId="7726AAA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80" w:firstLineChars="4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项目地点：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>仪征市仪化生活区环南路1号</w:t>
      </w:r>
    </w:p>
    <w:p w14:paraId="4DEAD0D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80" w:firstLineChars="4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建筑面积：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>约80000平方米</w:t>
      </w:r>
    </w:p>
    <w:p w14:paraId="06CBC2C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4D63F6E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61A4A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6F319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32430E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109F7011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both"/>
        <w:rPr>
          <w:rFonts w:hint="eastAsia" w:ascii="仿宋" w:hAnsi="仿宋" w:eastAsia="仿宋" w:cs="仿宋"/>
          <w:spacing w:val="20"/>
          <w:kern w:val="2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933450" cy="4953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20"/>
          <w:kern w:val="2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spacing w:val="20"/>
          <w:kern w:val="2"/>
          <w:sz w:val="11"/>
          <w:szCs w:val="1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20"/>
          <w:kern w:val="2"/>
          <w:sz w:val="32"/>
          <w:szCs w:val="32"/>
          <w:lang w:val="en-US" w:eastAsia="zh-CN" w:bidi="ar"/>
        </w:rPr>
        <w:t>江苏省公安厅消防局</w:t>
      </w:r>
    </w:p>
    <w:p w14:paraId="190F1252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 w:firstLine="2560" w:firstLineChars="8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江苏省工商行政管理局</w:t>
      </w:r>
    </w:p>
    <w:p w14:paraId="610D87A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44"/>
          <w:szCs w:val="44"/>
          <w:lang w:val="en-US" w:eastAsia="zh-CN" w:bidi="ar"/>
        </w:rPr>
        <w:br w:type="page"/>
      </w: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"/>
        </w:rPr>
        <w:t>建筑消防技术服务合同</w:t>
      </w:r>
    </w:p>
    <w:p w14:paraId="535E32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甲方：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南京鼓楼医院集团仪征医院</w:t>
      </w:r>
    </w:p>
    <w:p w14:paraId="78D7D44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乙方：</w:t>
      </w:r>
    </w:p>
    <w:p w14:paraId="3BDA023C">
      <w:pPr>
        <w:keepNext w:val="0"/>
        <w:keepLines w:val="0"/>
        <w:widowControl w:val="0"/>
        <w:suppressLineNumbers w:val="0"/>
        <w:autoSpaceDE w:val="0"/>
        <w:autoSpaceDN/>
        <w:spacing w:before="156" w:beforeLines="50" w:beforeAutospacing="0" w:after="0" w:afterAutospacing="0" w:line="480" w:lineRule="exact"/>
        <w:ind w:left="0" w:leftChars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甲乙双方根据《中华人民共和国民法典》、《中华人民共和国消防法》和《江苏省消防条例》等规定，结合具体情况，经协商达成如下协议，共同遵守：</w:t>
      </w:r>
    </w:p>
    <w:p w14:paraId="18014112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委托服务内容：</w:t>
      </w:r>
    </w:p>
    <w:p w14:paraId="1B31509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乙方负责下列建筑消防技术服务。</w:t>
      </w:r>
    </w:p>
    <w:p w14:paraId="3C44641F">
      <w:pPr>
        <w:keepNext w:val="0"/>
        <w:keepLines w:val="0"/>
        <w:widowControl w:val="0"/>
        <w:numPr>
          <w:ilvl w:val="0"/>
          <w:numId w:val="3"/>
        </w:numPr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消防设施检测；</w:t>
      </w:r>
    </w:p>
    <w:p w14:paraId="703EE96B">
      <w:pPr>
        <w:keepNext w:val="0"/>
        <w:keepLines w:val="0"/>
        <w:widowControl w:val="0"/>
        <w:numPr>
          <w:ilvl w:val="0"/>
          <w:numId w:val="3"/>
        </w:numPr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消防安全评估；</w:t>
      </w:r>
    </w:p>
    <w:p w14:paraId="708B500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二、甲方的权利、义务：</w:t>
      </w:r>
    </w:p>
    <w:p w14:paraId="7C1FAAF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1、甲方有权核查乙方服务机构资质证书和现场技术人员执业资格证书。</w:t>
      </w:r>
    </w:p>
    <w:p w14:paraId="2DFCCA9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2、甲方向乙方提供下列资料：消防系统安装竣工图、隐蔽工程记录、工程自检自测记录、系统运行（值班）记录、通过消防设计审核或备案的证明文件和消防设计图纸。</w:t>
      </w:r>
    </w:p>
    <w:p w14:paraId="13F741C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3、甲方不得以任何理由/方式要求乙方出具虚假检测报告。</w:t>
      </w:r>
    </w:p>
    <w:p w14:paraId="4103521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4、甲方应指派熟悉相关业务的人员配合乙方检测人员工作，并向乙方提供检测需要的相关村料、资料与数据，并且保证所提供材料的真实性与准确性。</w:t>
      </w:r>
    </w:p>
    <w:p w14:paraId="0D5F92D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5、甲方按照合同约定及时支付乙方检测费用。</w:t>
      </w:r>
    </w:p>
    <w:p w14:paraId="50E9C0E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6、甲方不得涂改乙方出具的检测/评估报告。</w:t>
      </w:r>
    </w:p>
    <w:p w14:paraId="7D2B503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三、乙方的权利、义务：</w:t>
      </w:r>
    </w:p>
    <w:p w14:paraId="3BC2825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1、乙方根据国家有关规范、标准对甲方委托服务内容进行检测，检测后，乙方向甲方出具现场真实、有效的检测报告，乙方只针对所检部分出具相应的报告。</w:t>
      </w:r>
    </w:p>
    <w:p w14:paraId="036EDFF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2、乙方检测人员在检测期间应注意现场设备、设施的保护。</w:t>
      </w:r>
    </w:p>
    <w:p w14:paraId="7EA4272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3、乙方严格保守甲方产品、资料和检测数据的秘密。</w:t>
      </w:r>
    </w:p>
    <w:p w14:paraId="5C35B99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4、乙方具备消防技术服务的相应资质、资格，依照法律法规、技术标准和执业准则，开展建筑消防技术服务活动，对服务质量负责。</w:t>
      </w:r>
    </w:p>
    <w:p w14:paraId="5D03D5D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5、乙方根据服务对象的具体情况，拟定具体的技术方案，明确项目负责人，至少指定2名以上执业人员负责实施。执业人员技术服务时应当认真如实填写记录表。</w:t>
      </w:r>
    </w:p>
    <w:p w14:paraId="311923F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6、乙方出具真实、规范的技术服务报告，并加盖技术服务机构印章。</w:t>
      </w:r>
    </w:p>
    <w:p w14:paraId="486ED1A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7、乙方及时向甲方出具技术服务报告或问题反馈意见书。</w:t>
      </w:r>
    </w:p>
    <w:p w14:paraId="7F0F5F2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8、乙方不得转包、分包消防技术服务项目。</w:t>
      </w:r>
    </w:p>
    <w:p w14:paraId="4677A71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四、技术服务费用及支付方式、期限：</w:t>
      </w:r>
    </w:p>
    <w:p w14:paraId="23F4583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1、检测/评估费用共为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 xml:space="preserve">：             </w:t>
      </w:r>
    </w:p>
    <w:p w14:paraId="051CD56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2、以上检测费为：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含税价（增值税普通发票）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；</w:t>
      </w:r>
    </w:p>
    <w:p w14:paraId="2432EB0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3、支付方式：</w:t>
      </w:r>
    </w:p>
    <w:p w14:paraId="461F10B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项目检测/评估完成后，如现场没有不合格项，乙方在15个工作日内出具检测报告/评估报告及等额发票后，甲方于收到后30日内向乙方一次性结清本次全部检测/评估费用；</w:t>
      </w:r>
    </w:p>
    <w:p w14:paraId="7D872B4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项目检测/评估完成后，如现场有不合格项，乙方在5个工作日内将向甲方出具问题反馈意见书；甲方在收到问题反馈意见书后15个工作日内完成整改的，乙方免费复检，就复检结果出具正式检测报告/评估报告，全部合格后。乙方在15个工作日内出具检测报告/评估报告及等额发票后，甲方于收到后30日内向乙方一次性结清本次全部检测/评估费用；</w:t>
      </w:r>
    </w:p>
    <w:p w14:paraId="5569526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五、保密约定</w:t>
      </w:r>
    </w:p>
    <w:p w14:paraId="451CF33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在合同期内或合同终止后，未征得有关方同意，双方均不得泄露与本合同有关的数据资料。</w:t>
      </w:r>
    </w:p>
    <w:p w14:paraId="07C7F7F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六、违约责任：</w:t>
      </w:r>
    </w:p>
    <w:p w14:paraId="0B727BC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1、对乙方不按规定履行义务，在技术服务中弄虚作假或严重不负责任的，或转包、分包消防技术服务项目的，甲方有权解除技术服务合同。</w:t>
      </w:r>
    </w:p>
    <w:p w14:paraId="70C3132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2、甲方未按约定付款，乙方有权要求甲方按银行同期贷款利率的叁倍承担利息，并承担乙方主张权利发生的费用包含但不限于律师费、诉讼费、保全费、执行费等。</w:t>
      </w:r>
    </w:p>
    <w:p w14:paraId="3C08267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righ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3、乙方在双方合同签订后，未在甲方要求的时间内，未履行或未履行完毕的情况下，则视为违约，乙方应负全部责任，甲方有权解除技术服务合同。</w:t>
      </w:r>
    </w:p>
    <w:p w14:paraId="102BE52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七、解决合同纠纷的方式：</w:t>
      </w:r>
    </w:p>
    <w:p w14:paraId="100ECC0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本合同执行过程中，双方如有经协商未能解决的争议时，可向仪征人民法院诉讼；</w:t>
      </w:r>
    </w:p>
    <w:p w14:paraId="616D2CF6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双方协商的其他事项：</w:t>
      </w:r>
    </w:p>
    <w:p w14:paraId="661676BC"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本项目范围是仪征医院范围内的所有消防设施及消防系统，主要包括以下内容：火灾自动报警系统、自动喷淋灭火冷却系统、消火栓系统、气体灭火系统、防火分隔系统、防排烟系统、应急照明和疏散指示系统、消防通讯设备、其他消防设施的检测、评估，并出具相关的消防年度检测报告、安全评估报告；</w:t>
      </w:r>
    </w:p>
    <w:p w14:paraId="39F387E5"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自合同签订后，定3年服务期。</w:t>
      </w:r>
    </w:p>
    <w:p w14:paraId="22A2463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九、合同份数：</w:t>
      </w:r>
    </w:p>
    <w:p w14:paraId="79405F5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本合同自签字或盖章之日起生效，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一肆份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，甲方执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贰份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，乙方执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贰份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，具有同等法律效力。</w:t>
      </w:r>
    </w:p>
    <w:p w14:paraId="0A6265A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以下无正文，为签字盖章页。</w:t>
      </w:r>
    </w:p>
    <w:p w14:paraId="6BE9F26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1F565A1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12DD0A7B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甲  方（盖章）：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南京鼓楼医院集团仪征医院</w:t>
      </w:r>
    </w:p>
    <w:p w14:paraId="2CD02EDA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720" w:lineRule="auto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代  表（签字或盖章）：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 xml:space="preserve">                          </w:t>
      </w:r>
    </w:p>
    <w:p w14:paraId="6FC1DBDC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720" w:lineRule="auto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日  期：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202 年  月  日</w:t>
      </w:r>
    </w:p>
    <w:p w14:paraId="34411C96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720" w:lineRule="auto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 w14:paraId="390D48C1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720" w:lineRule="auto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乙  方（盖章）：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 xml:space="preserve">                      </w:t>
      </w:r>
    </w:p>
    <w:p w14:paraId="6AAFBDB1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720" w:lineRule="auto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代  表（签字或盖章）：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 xml:space="preserve">                </w:t>
      </w:r>
    </w:p>
    <w:p w14:paraId="6103EC7C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720" w:lineRule="auto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日  期：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202 年  月  日</w:t>
      </w:r>
    </w:p>
    <w:p w14:paraId="607AA02C">
      <w:pPr>
        <w:pStyle w:val="1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B178E"/>
    <w:multiLevelType w:val="multilevel"/>
    <w:tmpl w:val="DD2B178E"/>
    <w:lvl w:ilvl="0" w:tentative="0">
      <w:start w:val="8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2EAA68D"/>
    <w:multiLevelType w:val="multilevel"/>
    <w:tmpl w:val="F2EAA68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1D77E644"/>
    <w:multiLevelType w:val="multilevel"/>
    <w:tmpl w:val="1D77E6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2819208F"/>
    <w:multiLevelType w:val="multilevel"/>
    <w:tmpl w:val="2819208F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63FC092C"/>
    <w:multiLevelType w:val="multilevel"/>
    <w:tmpl w:val="63FC092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YzNlZDI2OTE2MjkwZmE1NGY4OWZkMWY1OTUyMmQifQ=="/>
    <w:docVar w:name="KSO_WPS_MARK_KEY" w:val="94ce7060-106f-487e-a554-7a9f3da32556"/>
  </w:docVars>
  <w:rsids>
    <w:rsidRoot w:val="00000000"/>
    <w:rsid w:val="009E0CA3"/>
    <w:rsid w:val="02583957"/>
    <w:rsid w:val="07081306"/>
    <w:rsid w:val="114E0DFF"/>
    <w:rsid w:val="16163E05"/>
    <w:rsid w:val="169E0117"/>
    <w:rsid w:val="1B2E3BB2"/>
    <w:rsid w:val="1B711DE3"/>
    <w:rsid w:val="20860445"/>
    <w:rsid w:val="22170167"/>
    <w:rsid w:val="22C55A01"/>
    <w:rsid w:val="28996270"/>
    <w:rsid w:val="2A40180C"/>
    <w:rsid w:val="2AB02953"/>
    <w:rsid w:val="2DB63C16"/>
    <w:rsid w:val="312550F3"/>
    <w:rsid w:val="31842852"/>
    <w:rsid w:val="33F367C3"/>
    <w:rsid w:val="3C2763BA"/>
    <w:rsid w:val="3C766951"/>
    <w:rsid w:val="3EE36880"/>
    <w:rsid w:val="436E5535"/>
    <w:rsid w:val="48561714"/>
    <w:rsid w:val="4B780D0F"/>
    <w:rsid w:val="4D853985"/>
    <w:rsid w:val="4EB31D04"/>
    <w:rsid w:val="53656974"/>
    <w:rsid w:val="54795C69"/>
    <w:rsid w:val="54FC6C98"/>
    <w:rsid w:val="5C6D4A75"/>
    <w:rsid w:val="5CF04FE5"/>
    <w:rsid w:val="60CD0AC0"/>
    <w:rsid w:val="621203C7"/>
    <w:rsid w:val="62DF4291"/>
    <w:rsid w:val="63AA1795"/>
    <w:rsid w:val="664F56DD"/>
    <w:rsid w:val="6E833C7F"/>
    <w:rsid w:val="72B83B7D"/>
    <w:rsid w:val="779A0605"/>
    <w:rsid w:val="781514C8"/>
    <w:rsid w:val="78D445CC"/>
    <w:rsid w:val="78E94970"/>
    <w:rsid w:val="7DA340C4"/>
    <w:rsid w:val="7DD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0" w:beforeLines="0" w:after="20" w:afterLines="0"/>
      <w:outlineLvl w:val="1"/>
    </w:pPr>
    <w:rPr>
      <w:rFonts w:ascii="Arial" w:hAnsi="Arial" w:eastAsia="黑体"/>
      <w:b/>
      <w:sz w:val="28"/>
    </w:rPr>
  </w:style>
  <w:style w:type="paragraph" w:styleId="5">
    <w:name w:val="heading 3"/>
    <w:basedOn w:val="1"/>
    <w:next w:val="6"/>
    <w:unhideWhenUsed/>
    <w:qFormat/>
    <w:uiPriority w:val="0"/>
    <w:pPr>
      <w:keepNext/>
      <w:keepLines/>
      <w:spacing w:before="20" w:after="20" w:line="240" w:lineRule="auto"/>
      <w:jc w:val="left"/>
      <w:outlineLvl w:val="2"/>
    </w:pPr>
    <w:rPr>
      <w:rFonts w:ascii="Times New Roman" w:hAnsi="Times New Roman" w:eastAsia="仿宋"/>
      <w:bCs/>
      <w:sz w:val="24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pacing w:val="40"/>
      <w:sz w:val="28"/>
      <w:szCs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7"/>
    <w:qFormat/>
    <w:uiPriority w:val="0"/>
    <w:pPr>
      <w:tabs>
        <w:tab w:val="left" w:pos="8640"/>
      </w:tabs>
      <w:adjustRightInd w:val="0"/>
      <w:snapToGrid w:val="0"/>
      <w:spacing w:after="0"/>
      <w:ind w:left="0" w:leftChars="0" w:firstLine="640" w:firstLineChars="200"/>
      <w:jc w:val="left"/>
    </w:pPr>
    <w:rPr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首行缩进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8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customStyle="1" w:styleId="17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微软雅黑" w:hAnsi="Times New Roman" w:eastAsia="微软雅黑" w:cs="微软雅黑"/>
      <w:color w:val="000000"/>
      <w:kern w:val="0"/>
      <w:sz w:val="24"/>
      <w:szCs w:val="24"/>
      <w:lang w:val="en-US" w:eastAsia="zh-CN" w:bidi="ar"/>
    </w:rPr>
  </w:style>
  <w:style w:type="paragraph" w:customStyle="1" w:styleId="18">
    <w:name w:val="style4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kern w:val="2"/>
      <w:sz w:val="18"/>
      <w:szCs w:val="18"/>
      <w:lang w:val="en-US" w:eastAsia="zh-CN" w:bidi="ar"/>
    </w:rPr>
  </w:style>
  <w:style w:type="character" w:customStyle="1" w:styleId="19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3774</Words>
  <Characters>3957</Characters>
  <Lines>1</Lines>
  <Paragraphs>1</Paragraphs>
  <TotalTime>3</TotalTime>
  <ScaleCrop>false</ScaleCrop>
  <LinksUpToDate>false</LinksUpToDate>
  <CharactersWithSpaces>4199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2024-07-17T07:24:00Z</dcterms:created>
  <dc:creator>Administrator</dc:creator>
  <cp:lastModifiedBy>董嘉恒</cp:lastModifiedBy>
  <dcterms:modified xsi:type="dcterms:W3CDTF">2026-05-28T09:12:51Z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AF8E8BF99C1042AF9C240977CD5A28A7_12</vt:lpwstr>
  </property>
  <property fmtid="{D5CDD505-2E9C-101B-9397-08002B2CF9AE}" pid="4" name="KSOTemplateDocerSaveRecord">
    <vt:lpwstr>eyJoZGlkIjoiZWZkMDBhZmUzZmJlZjM3OGYwODJlNGJkOGNhZTkwOTIiLCJ1c2VySWQiOiI1NzA3MTU2ODMifQ==</vt:lpwstr>
  </property>
</Properties>
</file>