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7203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南京鼓楼医院集团仪征医院</w:t>
      </w:r>
    </w:p>
    <w:p w14:paraId="05B33ADE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存储扩容项目</w:t>
      </w:r>
    </w:p>
    <w:p w14:paraId="76566417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公开询比价</w:t>
      </w:r>
      <w:r>
        <w:rPr>
          <w:rFonts w:hint="eastAsia"/>
        </w:rPr>
        <w:t>文件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二次</w:t>
      </w:r>
      <w:r>
        <w:rPr>
          <w:rFonts w:hint="eastAsia"/>
          <w:lang w:eastAsia="zh-CN"/>
        </w:rPr>
        <w:t>）</w:t>
      </w:r>
    </w:p>
    <w:p w14:paraId="42EBF200">
      <w:pPr>
        <w:pStyle w:val="6"/>
        <w:bidi w:val="0"/>
        <w:jc w:val="center"/>
        <w:rPr>
          <w:rFonts w:hint="eastAsia"/>
        </w:rPr>
      </w:pPr>
      <w:r>
        <w:rPr>
          <w:rFonts w:hint="eastAsia"/>
        </w:rPr>
        <w:t>一、项目要求</w:t>
      </w:r>
    </w:p>
    <w:p w14:paraId="24BE4C7A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项目概况</w:t>
      </w:r>
    </w:p>
    <w:p w14:paraId="4F54BF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南京鼓楼医院集团仪征医院存储扩容</w:t>
      </w:r>
      <w:r>
        <w:rPr>
          <w:rFonts w:hint="eastAsia" w:ascii="仿宋" w:hAnsi="仿宋" w:eastAsia="仿宋" w:cs="仿宋"/>
          <w:sz w:val="24"/>
          <w:szCs w:val="24"/>
        </w:rPr>
        <w:t>采购项目</w:t>
      </w:r>
    </w:p>
    <w:p w14:paraId="069640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项目编号：YZH2025─XX01x</w:t>
      </w:r>
    </w:p>
    <w:p w14:paraId="4E35A5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3、采购方式：本次采购采用公开询比价采购方式。</w:t>
      </w:r>
    </w:p>
    <w:p w14:paraId="2E340B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采购内容：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495"/>
        <w:gridCol w:w="1035"/>
        <w:gridCol w:w="1020"/>
        <w:gridCol w:w="990"/>
        <w:gridCol w:w="991"/>
      </w:tblGrid>
      <w:tr w14:paraId="2065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 w14:paraId="3AB2E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95" w:type="dxa"/>
            <w:vAlign w:val="center"/>
          </w:tcPr>
          <w:p w14:paraId="56AC0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</w:t>
            </w:r>
          </w:p>
        </w:tc>
        <w:tc>
          <w:tcPr>
            <w:tcW w:w="1035" w:type="dxa"/>
            <w:vAlign w:val="center"/>
          </w:tcPr>
          <w:p w14:paraId="52A96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vAlign w:val="center"/>
          </w:tcPr>
          <w:p w14:paraId="5FAC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vAlign w:val="center"/>
          </w:tcPr>
          <w:p w14:paraId="19B0B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91" w:type="dxa"/>
            <w:vAlign w:val="center"/>
          </w:tcPr>
          <w:p w14:paraId="1109D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 w14:paraId="0590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 w14:paraId="2F537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vAlign w:val="center"/>
          </w:tcPr>
          <w:p w14:paraId="4AD73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EMC VNX5200 1.2T 7.2K SAS磁盘 质保1年</w:t>
            </w:r>
          </w:p>
        </w:tc>
        <w:tc>
          <w:tcPr>
            <w:tcW w:w="1035" w:type="dxa"/>
            <w:vAlign w:val="center"/>
          </w:tcPr>
          <w:p w14:paraId="7C679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vAlign w:val="center"/>
          </w:tcPr>
          <w:p w14:paraId="6D940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0" w:type="dxa"/>
            <w:vAlign w:val="center"/>
          </w:tcPr>
          <w:p w14:paraId="26541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</w:p>
        </w:tc>
        <w:tc>
          <w:tcPr>
            <w:tcW w:w="991" w:type="dxa"/>
            <w:vAlign w:val="center"/>
          </w:tcPr>
          <w:p w14:paraId="405E1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</w:p>
        </w:tc>
      </w:tr>
      <w:tr w14:paraId="6112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 w14:paraId="42794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95" w:type="dxa"/>
            <w:vAlign w:val="center"/>
          </w:tcPr>
          <w:p w14:paraId="475EE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EMC VNX5200 存储扩容服务</w:t>
            </w:r>
          </w:p>
        </w:tc>
        <w:tc>
          <w:tcPr>
            <w:tcW w:w="1035" w:type="dxa"/>
            <w:vAlign w:val="center"/>
          </w:tcPr>
          <w:p w14:paraId="53C1D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32ECC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vAlign w:val="center"/>
          </w:tcPr>
          <w:p w14:paraId="1F345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</w:p>
        </w:tc>
        <w:tc>
          <w:tcPr>
            <w:tcW w:w="991" w:type="dxa"/>
            <w:vAlign w:val="center"/>
          </w:tcPr>
          <w:p w14:paraId="529D0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</w:p>
        </w:tc>
      </w:tr>
      <w:tr w14:paraId="036C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1" w:type="dxa"/>
            <w:gridSpan w:val="4"/>
            <w:vAlign w:val="center"/>
          </w:tcPr>
          <w:p w14:paraId="00EB9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981" w:type="dxa"/>
            <w:gridSpan w:val="2"/>
            <w:vAlign w:val="center"/>
          </w:tcPr>
          <w:p w14:paraId="68E9D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16D8276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技术</w:t>
      </w:r>
      <w:r>
        <w:rPr>
          <w:rFonts w:hint="eastAsia"/>
        </w:rPr>
        <w:t>要求：</w:t>
      </w:r>
    </w:p>
    <w:p w14:paraId="37FA31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详见附件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02323887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2、最高限价2万元</w:t>
      </w:r>
    </w:p>
    <w:p w14:paraId="12C6F0A1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合同期限及支付方式</w:t>
      </w:r>
    </w:p>
    <w:p w14:paraId="415D16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1、协议生效期：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一次性采购服务合同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15E40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2、支付方式：货到验收合格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正常使用一个月</w:t>
      </w:r>
      <w:r>
        <w:rPr>
          <w:rFonts w:hint="eastAsia" w:ascii="仿宋" w:hAnsi="仿宋" w:eastAsia="仿宋" w:cs="仿宋"/>
          <w:sz w:val="24"/>
          <w:szCs w:val="24"/>
        </w:rPr>
        <w:t>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请供应商开具相应全款发票，我院根据发票在3个月内安排</w:t>
      </w:r>
      <w:r>
        <w:rPr>
          <w:rFonts w:hint="eastAsia" w:ascii="仿宋" w:hAnsi="仿宋" w:eastAsia="仿宋" w:cs="仿宋"/>
          <w:sz w:val="24"/>
          <w:szCs w:val="24"/>
        </w:rPr>
        <w:t>付款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90%，一年质保期结束后付10%尾款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B6B24B0">
      <w:pPr>
        <w:pStyle w:val="6"/>
        <w:bidi w:val="0"/>
        <w:jc w:val="center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eastAsia="zh-CN"/>
        </w:rPr>
        <w:t>公开询比价</w:t>
      </w:r>
      <w:r>
        <w:rPr>
          <w:rFonts w:hint="eastAsia"/>
        </w:rPr>
        <w:t>须知</w:t>
      </w:r>
    </w:p>
    <w:p w14:paraId="744FD4CF">
      <w:pPr>
        <w:pStyle w:val="7"/>
        <w:bidi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本次比价采用一次性报价，报</w:t>
      </w:r>
      <w:r>
        <w:rPr>
          <w:rFonts w:hint="eastAsia"/>
        </w:rPr>
        <w:t>价文件要求</w:t>
      </w:r>
      <w:r>
        <w:rPr>
          <w:rFonts w:hint="eastAsia"/>
          <w:lang w:val="en-US" w:eastAsia="zh-CN"/>
        </w:rPr>
        <w:t>一式四份，要求如下：</w:t>
      </w:r>
    </w:p>
    <w:p w14:paraId="786246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1、若法定代表人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签署</w:t>
      </w:r>
      <w:r>
        <w:rPr>
          <w:rFonts w:hint="eastAsia" w:ascii="仿宋" w:hAnsi="仿宋" w:eastAsia="仿宋" w:cs="仿宋"/>
          <w:sz w:val="24"/>
          <w:szCs w:val="24"/>
        </w:rPr>
        <w:t>，须提供本人身份证复印件(原件备查)；若授权代表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签署</w:t>
      </w:r>
      <w:r>
        <w:rPr>
          <w:rFonts w:hint="eastAsia" w:ascii="仿宋" w:hAnsi="仿宋" w:eastAsia="仿宋" w:cs="仿宋"/>
          <w:sz w:val="24"/>
          <w:szCs w:val="24"/>
        </w:rPr>
        <w:t>的，须提供《法人授权书》原件和授权代表身份证复印件（原件备查）</w:t>
      </w:r>
    </w:p>
    <w:p w14:paraId="05F785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2、营业执照副本(复印件加盖应答人公章)</w:t>
      </w:r>
    </w:p>
    <w:p w14:paraId="3F1174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3、技术参数响应表</w:t>
      </w:r>
    </w:p>
    <w:p w14:paraId="6F159C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4、报价表</w:t>
      </w:r>
    </w:p>
    <w:p w14:paraId="0EFEC4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5、生产企业资质</w:t>
      </w:r>
    </w:p>
    <w:p w14:paraId="0716BCED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报价文件递交</w:t>
      </w:r>
    </w:p>
    <w:p w14:paraId="7B9DBE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1、递交报价文件时间、地点：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2026年4月30日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：00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前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招标采购部</w:t>
      </w:r>
      <w:r>
        <w:rPr>
          <w:rFonts w:hint="eastAsia" w:ascii="仿宋" w:hAnsi="仿宋" w:eastAsia="仿宋" w:cs="仿宋"/>
          <w:sz w:val="24"/>
          <w:szCs w:val="24"/>
        </w:rPr>
        <w:t>，电话：0514-83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211533，电话时间：工作日9:00-10:30,15:00-16:30.可采用自行送达或寄送方式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3CF9E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报价文件报价文件一正三副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应于规定的截止时间之前密封送达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南京鼓楼医院集团仪征医院招标采购部</w:t>
      </w:r>
      <w:r>
        <w:rPr>
          <w:rFonts w:hint="eastAsia" w:ascii="仿宋" w:hAnsi="仿宋" w:eastAsia="仿宋" w:cs="仿宋"/>
          <w:sz w:val="24"/>
          <w:szCs w:val="24"/>
        </w:rPr>
        <w:t>。在要求提交报价文件的截止时间后送达的报价文件，将拒收。</w:t>
      </w:r>
    </w:p>
    <w:p w14:paraId="5E04B29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报价文件应装入封袋，封面注明项目名称、供应商名称、地址、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 w:cs="仿宋"/>
          <w:sz w:val="24"/>
          <w:szCs w:val="24"/>
        </w:rPr>
        <w:t>电话等。</w:t>
      </w:r>
    </w:p>
    <w:p w14:paraId="060EBD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（三）报价保证金：人民币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贰仟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元整。递交保证金须标明项目名称、编号及参与竞争方公司名称。</w:t>
      </w:r>
    </w:p>
    <w:p w14:paraId="630574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报价保证金递交时间：2026年4月30日下午16:00前。</w:t>
      </w:r>
    </w:p>
    <w:p w14:paraId="353E0B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1.报价保证金采用电汇、汇票、转账支票等转账方式提交。</w:t>
      </w:r>
    </w:p>
    <w:p w14:paraId="088E7A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名称：南京鼓楼医院集团仪征医院有限公司</w:t>
      </w:r>
    </w:p>
    <w:p w14:paraId="187CDA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开户行：建设银行仪征化纤分理处</w:t>
      </w:r>
    </w:p>
    <w:p w14:paraId="416E33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账号：32001747038052502112</w:t>
      </w:r>
    </w:p>
    <w:p w14:paraId="7E9E74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2.未按规定提交报价保证金的响应文件，将被视为无效响应。报价保证金有效期与报价文件有效期一致。</w:t>
      </w:r>
    </w:p>
    <w:p w14:paraId="33C57B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3.未成交的供应商的报价保证金，将在成交后的90个工作日内予以退回(无息)。</w:t>
      </w:r>
    </w:p>
    <w:p w14:paraId="67C1EF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4.成交的供应商的报价保证金，在合同签订后，即转为履约保证金，待货物运送、安装结束验收合格并经审计后15个工作日内退回。</w:t>
      </w:r>
    </w:p>
    <w:p w14:paraId="7FE81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5.供应商在成交后未按报价文件规定与采购人签订购销合同时，供应商的报价保证金将被采购人扣缴。</w:t>
      </w:r>
    </w:p>
    <w:p w14:paraId="3DF6585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CB2F8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0C5A4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招标采购部</w:t>
      </w:r>
    </w:p>
    <w:p w14:paraId="398CEE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2026年4月24</w:t>
      </w:r>
      <w:bookmarkStart w:id="27" w:name="_GoBack"/>
      <w:bookmarkEnd w:id="27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</w:t>
      </w:r>
    </w:p>
    <w:p w14:paraId="4D846384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44C8589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br w:type="page"/>
      </w:r>
    </w:p>
    <w:p w14:paraId="4F043CFC">
      <w:pPr>
        <w:pStyle w:val="2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01D8D633">
      <w:pPr>
        <w:keepNext w:val="0"/>
        <w:keepLines w:val="0"/>
        <w:widowControl w:val="0"/>
        <w:suppressLineNumbers w:val="0"/>
        <w:spacing w:before="480" w:beforeAutospacing="0" w:after="480" w:afterAutospacing="0" w:line="288" w:lineRule="auto"/>
        <w:ind w:left="0" w:right="0"/>
        <w:jc w:val="center"/>
        <w:rPr>
          <w:rFonts w:hint="eastAsia" w:ascii="仿宋" w:hAnsi="仿宋" w:eastAsia="仿宋" w:cs="仿宋"/>
          <w:b/>
          <w:bCs w:val="0"/>
          <w:sz w:val="28"/>
          <w:szCs w:val="28"/>
        </w:rPr>
      </w:pPr>
    </w:p>
    <w:p w14:paraId="1DE399AF">
      <w:pPr>
        <w:keepNext w:val="0"/>
        <w:keepLines w:val="0"/>
        <w:widowControl w:val="0"/>
        <w:suppressLineNumbers w:val="0"/>
        <w:spacing w:before="480" w:beforeAutospacing="0" w:after="480" w:afterAutospacing="0" w:line="288" w:lineRule="auto"/>
        <w:ind w:left="0" w:right="0"/>
        <w:jc w:val="center"/>
        <w:rPr>
          <w:rFonts w:hint="eastAsia" w:ascii="仿宋" w:hAnsi="仿宋" w:eastAsia="仿宋" w:cs="仿宋"/>
          <w:b/>
          <w:bCs w:val="0"/>
          <w:sz w:val="52"/>
          <w:szCs w:val="52"/>
        </w:rPr>
      </w:pPr>
      <w:r>
        <w:rPr>
          <w:rFonts w:hint="eastAsia" w:ascii="仿宋" w:hAnsi="仿宋" w:eastAsia="仿宋" w:cs="仿宋"/>
          <w:b/>
          <w:bCs w:val="0"/>
          <w:kern w:val="0"/>
          <w:sz w:val="52"/>
          <w:szCs w:val="52"/>
          <w:lang w:val="en-US" w:eastAsia="zh-CN" w:bidi="ar"/>
        </w:rPr>
        <w:t xml:space="preserve"> </w:t>
      </w:r>
    </w:p>
    <w:p w14:paraId="7A2F6017">
      <w:pPr>
        <w:keepNext w:val="0"/>
        <w:keepLines w:val="0"/>
        <w:widowControl w:val="0"/>
        <w:suppressLineNumbers w:val="0"/>
        <w:spacing w:before="480" w:beforeAutospacing="0" w:after="480" w:afterAutospacing="0" w:line="288" w:lineRule="auto"/>
        <w:ind w:left="0" w:right="0"/>
        <w:jc w:val="center"/>
        <w:rPr>
          <w:rFonts w:hint="eastAsia" w:ascii="仿宋" w:hAnsi="仿宋" w:eastAsia="仿宋" w:cs="仿宋"/>
          <w:b/>
          <w:bCs w:val="0"/>
          <w:sz w:val="52"/>
          <w:szCs w:val="52"/>
        </w:rPr>
      </w:pPr>
      <w:r>
        <w:rPr>
          <w:rFonts w:hint="eastAsia" w:ascii="仿宋" w:hAnsi="仿宋" w:eastAsia="仿宋" w:cs="仿宋"/>
          <w:b/>
          <w:bCs w:val="0"/>
          <w:kern w:val="0"/>
          <w:sz w:val="52"/>
          <w:szCs w:val="52"/>
          <w:lang w:val="en-US" w:eastAsia="zh-CN" w:bidi="ar"/>
        </w:rPr>
        <w:t xml:space="preserve"> </w:t>
      </w:r>
    </w:p>
    <w:p w14:paraId="6FCF1CC2">
      <w:pPr>
        <w:keepNext w:val="0"/>
        <w:keepLines w:val="0"/>
        <w:widowControl w:val="0"/>
        <w:suppressLineNumbers w:val="0"/>
        <w:spacing w:before="480" w:beforeAutospacing="0" w:after="480" w:afterAutospacing="0" w:line="288" w:lineRule="auto"/>
        <w:ind w:left="0" w:right="0"/>
        <w:jc w:val="center"/>
        <w:rPr>
          <w:rFonts w:hint="eastAsia" w:ascii="仿宋" w:hAnsi="仿宋" w:eastAsia="仿宋" w:cs="仿宋"/>
          <w:b/>
          <w:bCs w:val="0"/>
          <w:sz w:val="52"/>
          <w:szCs w:val="52"/>
        </w:rPr>
      </w:pPr>
      <w:r>
        <w:rPr>
          <w:rFonts w:hint="eastAsia" w:ascii="仿宋" w:hAnsi="仿宋" w:eastAsia="仿宋" w:cs="仿宋"/>
          <w:b/>
          <w:bCs w:val="0"/>
          <w:kern w:val="0"/>
          <w:sz w:val="52"/>
          <w:szCs w:val="52"/>
          <w:lang w:val="en-US" w:eastAsia="zh-CN" w:bidi="ar"/>
        </w:rPr>
        <w:t>南京鼓楼医院集团仪征医院</w:t>
      </w:r>
    </w:p>
    <w:p w14:paraId="071AF48E">
      <w:pPr>
        <w:keepNext w:val="0"/>
        <w:keepLines w:val="0"/>
        <w:widowControl w:val="0"/>
        <w:suppressLineNumbers w:val="0"/>
        <w:spacing w:before="480" w:beforeAutospacing="0" w:after="480" w:afterAutospacing="0" w:line="288" w:lineRule="auto"/>
        <w:ind w:left="0" w:right="0"/>
        <w:jc w:val="center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b/>
          <w:bCs w:val="0"/>
          <w:kern w:val="0"/>
          <w:sz w:val="52"/>
          <w:szCs w:val="52"/>
          <w:lang w:val="en-US" w:eastAsia="zh-CN" w:bidi="ar"/>
        </w:rPr>
        <w:t>EMC VNX5200存储扩容方案</w:t>
      </w:r>
    </w:p>
    <w:p w14:paraId="76261AFE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 w14:paraId="390CD693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 w14:paraId="31CB1BAB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 w14:paraId="4127C777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 w14:paraId="6C7FB25D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 w14:paraId="3F59632B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 w14:paraId="6DBD71F0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right="0"/>
        <w:jc w:val="left"/>
        <w:rPr>
          <w:rFonts w:hint="default" w:ascii="Calibri" w:hAnsi="Calibri" w:eastAsia="宋体" w:cs="Times New Roman"/>
          <w:sz w:val="21"/>
          <w:szCs w:val="21"/>
        </w:rPr>
      </w:pPr>
      <w:bookmarkStart w:id="0" w:name="heading_2"/>
      <w:bookmarkEnd w:id="0"/>
      <w:r>
        <w:rPr>
          <w:rFonts w:hint="default" w:ascii="Calibri" w:hAnsi="Calibri" w:eastAsia="宋体" w:cs="Times New Roman"/>
          <w:kern w:val="0"/>
          <w:sz w:val="21"/>
          <w:szCs w:val="21"/>
          <w:lang w:val="en-US" w:eastAsia="zh-CN" w:bidi="ar"/>
        </w:rPr>
        <w:br w:type="page"/>
      </w:r>
    </w:p>
    <w:p w14:paraId="3CBAD4AB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leftChars="0" w:right="0"/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kern w:val="0"/>
          <w:sz w:val="48"/>
          <w:szCs w:val="48"/>
          <w:lang w:val="en-US" w:eastAsia="zh-CN" w:bidi="ar"/>
        </w:rPr>
        <w:t>目  录</w:t>
      </w:r>
    </w:p>
    <w:p w14:paraId="0D55D826">
      <w:pPr>
        <w:pStyle w:val="9"/>
        <w:widowControl/>
        <w:tabs>
          <w:tab w:val="right" w:leader="dot" w:pos="8305"/>
        </w:tabs>
        <w:spacing w:line="600" w:lineRule="auto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"_Toc6966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一、方案概述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_Toc6966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3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76D21185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"_Toc15883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1.1 扩容目标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_Toc15883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3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7C36C8B6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"_Toc3936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1.2 核心配置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_Toc3936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3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718B84F2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"_Toc29208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1.3扩容配置清单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_Toc29208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4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766CEC9F">
      <w:pPr>
        <w:pStyle w:val="9"/>
        <w:widowControl/>
        <w:tabs>
          <w:tab w:val="right" w:leader="dot" w:pos="8305"/>
        </w:tabs>
        <w:spacing w:line="600" w:lineRule="auto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"_Toc31037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二、扩容前提与准备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_Toc31037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4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4DD18E29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"_Toc31637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2.1 硬件检查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_Toc31637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4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45AE3DC9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"_Toc31783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2.2 软件与权限准备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_Toc31783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4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20BF82D1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"_Toc14031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2.3 前期备份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_Toc14031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5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022F865F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"_Toc6188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2.4 环境准备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_Toc6188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5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368B8C55">
      <w:pPr>
        <w:pStyle w:val="9"/>
        <w:widowControl/>
        <w:tabs>
          <w:tab w:val="right" w:leader="dot" w:pos="8305"/>
        </w:tabs>
        <w:spacing w:line="600" w:lineRule="auto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"_Toc11467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三、现场实施回退方案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_Toc11467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5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1D268C9E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"_Toc16060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3.1 回退前提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_Toc16060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5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5CE60CAB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"_Toc27564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3.2 回退原则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_Toc27564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5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45EE0718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"_Toc1538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3.3  回退后续处理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_Toc1538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6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2EE197FC">
      <w:pPr>
        <w:pStyle w:val="9"/>
        <w:widowControl/>
        <w:tabs>
          <w:tab w:val="right" w:leader="dot" w:pos="8305"/>
        </w:tabs>
        <w:spacing w:line="600" w:lineRule="auto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"_Toc14145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四、交付物清单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_Toc14145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6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668AB3A8">
      <w:pPr>
        <w:pStyle w:val="9"/>
        <w:widowControl/>
        <w:tabs>
          <w:tab w:val="right" w:leader="dot" w:pos="8305"/>
        </w:tabs>
        <w:spacing w:line="60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29CED2C2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right="0"/>
        <w:jc w:val="left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br w:type="page"/>
      </w:r>
      <w:bookmarkStart w:id="1" w:name="_Toc6966"/>
      <w:bookmarkEnd w:id="1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一、方案概述</w:t>
      </w:r>
    </w:p>
    <w:p w14:paraId="69E94ABD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2" w:name="_Toc15883"/>
      <w:bookmarkEnd w:id="2"/>
      <w:bookmarkStart w:id="3" w:name="heading_3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1.1 扩容目标</w:t>
      </w:r>
      <w:bookmarkEnd w:id="3"/>
    </w:p>
    <w:p w14:paraId="1DE2347D">
      <w:pPr>
        <w:pStyle w:val="16"/>
        <w:widowControl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为满足业务数据增长需求，对EMC VNX5200存储系统进行磁盘扩容，新增12块1.2T 7.2K SAS磁盘，实现容量扩展、性能均衡，确保业务无中断、数据安全可靠，同时适配VMware虚拟化平台的存储挂载与使用需求。</w:t>
      </w:r>
    </w:p>
    <w:p w14:paraId="7301D525">
      <w:pPr>
        <w:pStyle w:val="16"/>
        <w:widowControl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99D103A">
      <w:pPr>
        <w:pStyle w:val="16"/>
        <w:widowControl/>
        <w:ind w:left="0" w:leftChars="0" w:right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63DEB0F2">
      <w:pPr>
        <w:pStyle w:val="16"/>
        <w:widowControl/>
        <w:ind w:left="0" w:leftChars="0" w:right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24C99ED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4" w:name="heading_4"/>
      <w:bookmarkEnd w:id="4"/>
      <w:bookmarkStart w:id="5" w:name="_Toc3936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1.2 核心配置</w:t>
      </w:r>
      <w:bookmarkEnd w:id="5"/>
    </w:p>
    <w:p w14:paraId="755B7B14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磁盘规格：12块 2.5寸 1.2T 7.2K 6Gbps SAS磁盘</w:t>
      </w:r>
    </w:p>
    <w:p w14:paraId="0920C6BC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RAID架构：RAID5（5+1），兼顾容量、性能与冗余</w:t>
      </w:r>
    </w:p>
    <w:p w14:paraId="59605565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存储池类型：传统存储池（Traditional Pool），兼容VNX5200全版本</w:t>
      </w:r>
    </w:p>
    <w:p w14:paraId="1C4EDB9D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实施方式：全程在线操作，业务无中断，适配VMware ESXi主机挂载使用</w:t>
      </w:r>
    </w:p>
    <w:tbl>
      <w:tblPr>
        <w:tblStyle w:val="12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841"/>
        <w:gridCol w:w="713"/>
        <w:gridCol w:w="703"/>
        <w:gridCol w:w="862"/>
        <w:gridCol w:w="1013"/>
      </w:tblGrid>
      <w:tr w14:paraId="4CDA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EE810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4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6CE8A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配置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4DAB6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44BD9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508F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单价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B41DD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小计</w:t>
            </w:r>
          </w:p>
        </w:tc>
      </w:tr>
      <w:tr w14:paraId="6232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0BD4A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BE1B0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EMC VNX5200 1.2T 7.2K SAS磁盘 质保1年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0D85A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47D2F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块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8862E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DC9C7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34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EFB9A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30967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EMC VNX5200 存储扩容服务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5D765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25B1F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D02B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1D2A8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CD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DAC32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6584E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553F77EE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6" w:name="_Toc29208"/>
      <w:bookmarkEnd w:id="6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1.3扩容配置清单</w:t>
      </w:r>
    </w:p>
    <w:p w14:paraId="01A1C16B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right="0"/>
        <w:jc w:val="left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7" w:name="heading_5"/>
      <w:bookmarkEnd w:id="7"/>
      <w:bookmarkStart w:id="8" w:name="_Toc31037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二、扩容前提与准备</w:t>
      </w:r>
      <w:bookmarkEnd w:id="8"/>
    </w:p>
    <w:p w14:paraId="6BF21C29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9" w:name="heading_6"/>
      <w:bookmarkEnd w:id="9"/>
      <w:bookmarkStart w:id="10" w:name="_Toc31637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2.1 硬件检查</w:t>
      </w:r>
      <w:bookmarkEnd w:id="10"/>
    </w:p>
    <w:p w14:paraId="32F1D35F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确认EMC VNX5200 DPE/DAE有12个空闲2.5寸SAS盘位，盘位编号建议连续且均匀分布在SPA/SPB双控制器后端总线，避免单链路过载。</w:t>
      </w:r>
    </w:p>
    <w:p w14:paraId="20C2095A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新磁盘规格必须与现有SAS磁盘一致：2.5寸、1.2T、7.2K转速、6Gbps SAS接口，禁止混插SAS/NL-SAS/SSD磁盘。</w:t>
      </w:r>
    </w:p>
    <w:p w14:paraId="0AF14D91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检查存储系统硬件状态：SP控制器、电源、风扇、电池均正常，无硬件告警。</w:t>
      </w:r>
    </w:p>
    <w:p w14:paraId="289B0707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11" w:name="heading_7"/>
      <w:bookmarkEnd w:id="11"/>
      <w:bookmarkStart w:id="12" w:name="_Toc31783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2.2 软件与权限准备</w:t>
      </w:r>
      <w:bookmarkEnd w:id="12"/>
    </w:p>
    <w:p w14:paraId="45E17F54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Unisphere管理界面（Block模式）可正常登录，操作账号具备Storage Administrator权限。</w:t>
      </w:r>
    </w:p>
    <w:p w14:paraId="365152AB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确认存储系统FLARE版本≥05.32，支持存储池在线扩容。</w:t>
      </w:r>
    </w:p>
    <w:p w14:paraId="003C5050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主机端已安装PowerPath/ALUA多路径软件，双活路径状态正常；VMware ESXi主机已安装对应版本的VNX Host Utilities工具，确保存储兼容性。</w:t>
      </w:r>
    </w:p>
    <w:p w14:paraId="3C2BEAF2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VMware vCenter Server可正常登录，操作账号具备管理员权限，可执行数据存储创建、主机配置等操作。</w:t>
      </w:r>
    </w:p>
    <w:p w14:paraId="3AA9884B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13" w:name="_Toc14031"/>
      <w:bookmarkEnd w:id="13"/>
      <w:bookmarkStart w:id="14" w:name="heading_8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2.3 前期备份</w:t>
      </w:r>
      <w:bookmarkEnd w:id="14"/>
    </w:p>
    <w:p w14:paraId="3D1D0F48">
      <w:pPr>
        <w:pStyle w:val="16"/>
        <w:widowControl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扩容前对存储系统内所有关键LUN执行全量备份，或通过Unisphere创建Snapshot/Clone快照；同时对VMware虚拟化平台内的虚拟机（VM）执行快照备份，确保数据可恢复，规避扩容过程中的数据丢失风险。</w:t>
      </w:r>
    </w:p>
    <w:p w14:paraId="5C941839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15" w:name="heading_9"/>
      <w:bookmarkEnd w:id="15"/>
      <w:bookmarkStart w:id="16" w:name="_Toc6188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2.4 环境准备</w:t>
      </w:r>
      <w:bookmarkEnd w:id="16"/>
    </w:p>
    <w:p w14:paraId="6DB8DC51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选择业务低峰期（如夜间、周末）执行扩容操作，减少RAID重构对业务性能的影响。</w:t>
      </w:r>
    </w:p>
    <w:p w14:paraId="63BD129B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准备好实施所需工具：笔记本电脑（已安装Unisphere客户端、vSphere Client）、磁盘插拔工具、操作手册打印版。</w:t>
      </w:r>
    </w:p>
    <w:p w14:paraId="135D989F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确认VMware ESXi主机与EMC VNX5200存储之间的FC/iSCSI链路正常，无中断、无告警。</w:t>
      </w:r>
    </w:p>
    <w:p w14:paraId="4522144C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right="0"/>
        <w:jc w:val="left"/>
        <w:outlineLvl w:val="0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17" w:name="_Toc11467"/>
      <w:bookmarkEnd w:id="17"/>
      <w:bookmarkStart w:id="18" w:name="heading_39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三</w:t>
      </w:r>
      <w:bookmarkEnd w:id="18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、现场实施回退方案</w:t>
      </w:r>
    </w:p>
    <w:p w14:paraId="3E03497C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19" w:name="heading_40"/>
      <w:bookmarkEnd w:id="19"/>
      <w:bookmarkStart w:id="20" w:name="_Toc16060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3.</w:t>
      </w:r>
      <w:bookmarkEnd w:id="20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1 回退前提</w:t>
      </w:r>
    </w:p>
    <w:p w14:paraId="0EBB95B6">
      <w:pPr>
        <w:pStyle w:val="16"/>
        <w:widowControl/>
        <w:numPr>
          <w:ilvl w:val="0"/>
          <w:numId w:val="2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RAID组创建失败、重构过程中出现磁盘离线、存储告警无法消除。</w:t>
      </w:r>
    </w:p>
    <w:p w14:paraId="47CB0183">
      <w:pPr>
        <w:pStyle w:val="16"/>
        <w:widowControl/>
        <w:numPr>
          <w:ilvl w:val="0"/>
          <w:numId w:val="2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存储池创建失败，或创建后状态异常（如Degraded）。</w:t>
      </w:r>
    </w:p>
    <w:p w14:paraId="796CA56C">
      <w:pPr>
        <w:pStyle w:val="16"/>
        <w:widowControl/>
        <w:numPr>
          <w:ilvl w:val="0"/>
          <w:numId w:val="2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LUN映射异常，导致主机/VMware ESXi无法识别LUN，或业务出现中断。</w:t>
      </w:r>
    </w:p>
    <w:p w14:paraId="3621D88F">
      <w:pPr>
        <w:pStyle w:val="16"/>
        <w:widowControl/>
        <w:numPr>
          <w:ilvl w:val="0"/>
          <w:numId w:val="2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主机端/VMware端扩容失败，出现文件系统损坏、数据丢失、虚拟机无法启动等异常。</w:t>
      </w:r>
    </w:p>
    <w:p w14:paraId="486FCD35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21" w:name="heading_41"/>
      <w:bookmarkEnd w:id="21"/>
      <w:bookmarkStart w:id="22" w:name="_Toc27564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3.</w:t>
      </w:r>
      <w:bookmarkEnd w:id="22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2 回退原则</w:t>
      </w:r>
    </w:p>
    <w:p w14:paraId="3C02F354">
      <w:pPr>
        <w:pStyle w:val="16"/>
        <w:widowControl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优先保障原有业务正常运行，恢复到扩容前的存储配置状态，避免原有数据丢失、业务中断，回退过程全程在线，不影响原有LUN和业务；VMware端回退需优先保障原有虚拟机正常运行，避免虚拟机数据丢失。</w:t>
      </w:r>
    </w:p>
    <w:p w14:paraId="188EB595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23" w:name="_Toc1538"/>
      <w:bookmarkEnd w:id="23"/>
      <w:bookmarkStart w:id="24" w:name="heading_46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3.3</w:t>
      </w:r>
      <w:bookmarkEnd w:id="24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 xml:space="preserve">  回退后续处理</w:t>
      </w:r>
    </w:p>
    <w:p w14:paraId="1ABB19E5">
      <w:pPr>
        <w:pStyle w:val="16"/>
        <w:widowControl/>
        <w:numPr>
          <w:ilvl w:val="0"/>
          <w:numId w:val="2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回退完成后，排查扩容失败原因（如磁盘故障、配置错误、兼容性问题、VMware链路异常）。</w:t>
      </w:r>
    </w:p>
    <w:p w14:paraId="4F027CAC">
      <w:pPr>
        <w:pStyle w:val="16"/>
        <w:widowControl/>
        <w:numPr>
          <w:ilvl w:val="0"/>
          <w:numId w:val="2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解决故障后，重新按照实施手册执行扩容操作；若故障无法立即解决，暂停扩容，留存现场日志。</w:t>
      </w:r>
    </w:p>
    <w:p w14:paraId="63E198EC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right="0"/>
        <w:jc w:val="left"/>
        <w:outlineLvl w:val="0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25" w:name="_Toc14145"/>
      <w:bookmarkEnd w:id="25"/>
      <w:bookmarkStart w:id="26" w:name="heading_47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四、交付物清单</w:t>
      </w:r>
      <w:bookmarkEnd w:id="26"/>
    </w:p>
    <w:p w14:paraId="48A3EF5E">
      <w:pPr>
        <w:pStyle w:val="16"/>
        <w:widowControl/>
        <w:numPr>
          <w:ilvl w:val="0"/>
          <w:numId w:val="3"/>
        </w:numPr>
        <w:ind w:left="0" w:right="0" w:firstLine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扩容方案文档</w:t>
      </w:r>
    </w:p>
    <w:p w14:paraId="2976DD91">
      <w:pPr>
        <w:pStyle w:val="16"/>
        <w:widowControl/>
        <w:numPr>
          <w:ilvl w:val="0"/>
          <w:numId w:val="3"/>
        </w:numPr>
        <w:ind w:left="0" w:right="0" w:firstLine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配置截图</w:t>
      </w:r>
    </w:p>
    <w:p w14:paraId="3642E421">
      <w:pPr>
        <w:pStyle w:val="16"/>
        <w:widowControl/>
        <w:numPr>
          <w:ilvl w:val="0"/>
          <w:numId w:val="3"/>
        </w:numPr>
        <w:ind w:left="0" w:right="0" w:firstLine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VMware平台操作记录</w:t>
      </w:r>
    </w:p>
    <w:p w14:paraId="071D868B">
      <w:pPr>
        <w:pStyle w:val="16"/>
        <w:widowControl/>
        <w:numPr>
          <w:ilvl w:val="0"/>
          <w:numId w:val="3"/>
        </w:numPr>
        <w:ind w:left="0" w:right="0" w:firstLine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扩容前后存储容量对比报告</w:t>
      </w:r>
    </w:p>
    <w:p w14:paraId="114113FC">
      <w:pPr>
        <w:pStyle w:val="2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0EB420"/>
    <w:multiLevelType w:val="multilevel"/>
    <w:tmpl w:val="AF0EB4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479583D9"/>
    <w:multiLevelType w:val="multilevel"/>
    <w:tmpl w:val="479583D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5E862504"/>
    <w:multiLevelType w:val="multilevel"/>
    <w:tmpl w:val="5E8625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YzNlZDI2OTE2MjkwZmE1NGY4OWZkMWY1OTUyMmQifQ=="/>
    <w:docVar w:name="KSO_WPS_MARK_KEY" w:val="94ce7060-106f-487e-a554-7a9f3da32556"/>
  </w:docVars>
  <w:rsids>
    <w:rsidRoot w:val="00000000"/>
    <w:rsid w:val="009E0CA3"/>
    <w:rsid w:val="00E62192"/>
    <w:rsid w:val="02583957"/>
    <w:rsid w:val="05512EBB"/>
    <w:rsid w:val="05F271E6"/>
    <w:rsid w:val="08DF20C9"/>
    <w:rsid w:val="0ED5578D"/>
    <w:rsid w:val="114E0DFF"/>
    <w:rsid w:val="16163E05"/>
    <w:rsid w:val="19EB11B0"/>
    <w:rsid w:val="1E803023"/>
    <w:rsid w:val="1F0D31A0"/>
    <w:rsid w:val="1F7C6759"/>
    <w:rsid w:val="20860445"/>
    <w:rsid w:val="226357CC"/>
    <w:rsid w:val="27D04467"/>
    <w:rsid w:val="2AB02953"/>
    <w:rsid w:val="2BCF1446"/>
    <w:rsid w:val="2E1E010F"/>
    <w:rsid w:val="312550F3"/>
    <w:rsid w:val="33F367C3"/>
    <w:rsid w:val="3C766951"/>
    <w:rsid w:val="3CC1149A"/>
    <w:rsid w:val="3D6C4184"/>
    <w:rsid w:val="3EE36880"/>
    <w:rsid w:val="48561714"/>
    <w:rsid w:val="4B537401"/>
    <w:rsid w:val="4EB31D04"/>
    <w:rsid w:val="54795C69"/>
    <w:rsid w:val="56A975DA"/>
    <w:rsid w:val="584C6296"/>
    <w:rsid w:val="5C6D4A75"/>
    <w:rsid w:val="5CF04FE5"/>
    <w:rsid w:val="60CD0AC0"/>
    <w:rsid w:val="6E833C7F"/>
    <w:rsid w:val="73E35731"/>
    <w:rsid w:val="77F62D2D"/>
    <w:rsid w:val="781514C8"/>
    <w:rsid w:val="7DA340C4"/>
    <w:rsid w:val="7F3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0" w:beforeLines="0" w:after="20" w:afterLines="0"/>
      <w:outlineLvl w:val="1"/>
    </w:pPr>
    <w:rPr>
      <w:rFonts w:ascii="Arial" w:hAnsi="Arial" w:eastAsia="黑体"/>
      <w:b/>
      <w:sz w:val="28"/>
    </w:rPr>
  </w:style>
  <w:style w:type="paragraph" w:styleId="7">
    <w:name w:val="heading 3"/>
    <w:basedOn w:val="1"/>
    <w:next w:val="8"/>
    <w:unhideWhenUsed/>
    <w:qFormat/>
    <w:uiPriority w:val="0"/>
    <w:pPr>
      <w:keepNext/>
      <w:keepLines/>
      <w:spacing w:before="20" w:after="20" w:line="240" w:lineRule="auto"/>
      <w:jc w:val="left"/>
      <w:outlineLvl w:val="2"/>
    </w:pPr>
    <w:rPr>
      <w:rFonts w:ascii="Times New Roman" w:hAnsi="Times New Roman" w:eastAsia="仿宋"/>
      <w:bCs/>
      <w:sz w:val="24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8640"/>
      </w:tabs>
      <w:adjustRightInd w:val="0"/>
      <w:snapToGrid w:val="0"/>
      <w:spacing w:after="0"/>
      <w:ind w:left="0" w:leftChars="0" w:firstLine="640" w:firstLineChars="200"/>
      <w:jc w:val="left"/>
    </w:pPr>
    <w:rPr>
      <w:szCs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toc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paragraph" w:styleId="10">
    <w:name w:val="toc 2"/>
    <w:basedOn w:val="1"/>
    <w:next w:val="1"/>
    <w:qFormat/>
    <w:uiPriority w:val="0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table" w:styleId="12">
    <w:name w:val="Table Grid"/>
    <w:basedOn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font11"/>
    <w:basedOn w:val="1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6">
    <w:name w:val="段落自定义"/>
    <w:basedOn w:val="1"/>
    <w:uiPriority w:val="0"/>
    <w:pPr>
      <w:keepNext w:val="0"/>
      <w:keepLines w:val="0"/>
      <w:widowControl w:val="0"/>
      <w:suppressLineNumbers w:val="0"/>
      <w:autoSpaceDE w:val="0"/>
      <w:autoSpaceDN/>
      <w:spacing w:before="0" w:beforeAutospacing="0" w:after="0" w:afterAutospacing="0" w:line="520" w:lineRule="exact"/>
      <w:ind w:firstLine="480" w:firstLineChars="200"/>
      <w:jc w:val="both"/>
    </w:pPr>
    <w:rPr>
      <w:rFonts w:hint="default" w:ascii="宋体" w:hAnsi="宋体" w:eastAsia="仿宋_GB2312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2108</Words>
  <Characters>2634</Characters>
  <Lines>1</Lines>
  <Paragraphs>1</Paragraphs>
  <TotalTime>6</TotalTime>
  <ScaleCrop>false</ScaleCrop>
  <LinksUpToDate>false</LinksUpToDate>
  <CharactersWithSpaces>2720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2024-07-17T07:24:00Z</dcterms:created>
  <dc:creator>Administrator</dc:creator>
  <cp:lastModifiedBy>董嘉恒</cp:lastModifiedBy>
  <dcterms:modified xsi:type="dcterms:W3CDTF">2026-04-24T07:51:40Z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AF8E8BF99C1042AF9C240977CD5A28A7_12</vt:lpwstr>
  </property>
  <property fmtid="{D5CDD505-2E9C-101B-9397-08002B2CF9AE}" pid="4" name="KSOTemplateDocerSaveRecord">
    <vt:lpwstr>eyJoZGlkIjoiZDBjOGQwYzlmODE2YTFlMjg5OTA5MDM3NDNhMTc2ZjAiLCJ1c2VySWQiOiI1NzA3MTU2ODMifQ==</vt:lpwstr>
  </property>
</Properties>
</file>