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8BD9F">
      <w:pPr>
        <w:jc w:val="both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附件2</w:t>
      </w:r>
    </w:p>
    <w:p w14:paraId="66DFEA95"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血透室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AB液</w:t>
      </w:r>
      <w:r>
        <w:rPr>
          <w:rFonts w:hint="eastAsia" w:ascii="宋体" w:hAnsi="宋体" w:eastAsia="宋体" w:cs="宋体"/>
          <w:sz w:val="36"/>
          <w:szCs w:val="36"/>
        </w:rPr>
        <w:t>集中供液设备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采购</w:t>
      </w:r>
      <w:r>
        <w:rPr>
          <w:rFonts w:hint="eastAsia" w:ascii="宋体" w:hAnsi="宋体" w:eastAsia="宋体" w:cs="宋体"/>
          <w:sz w:val="36"/>
          <w:szCs w:val="36"/>
        </w:rPr>
        <w:t>需求</w:t>
      </w:r>
    </w:p>
    <w:p w14:paraId="16E26D15"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 w14:paraId="54F5FDF7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一、设备概述</w:t>
      </w:r>
    </w:p>
    <w:p w14:paraId="70949B1F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1.适用于血透室集中供液系统，能够精确、稳定地为多台血液透析机提供符合标准的透析液。</w:t>
      </w:r>
    </w:p>
    <w:p w14:paraId="0D072CA6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2.设备应具备自动化控制功能，可对供液过程进行实时监测和调控，确保透析液的质量和供应的连续性。</w:t>
      </w:r>
    </w:p>
    <w:p w14:paraId="6526E6B5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二、技术参数</w:t>
      </w:r>
    </w:p>
    <w:p w14:paraId="2C97A94E"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1.供液量：满足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60</w:t>
      </w:r>
      <w:r>
        <w:rPr>
          <w:rFonts w:hint="eastAsia" w:ascii="宋体" w:hAnsi="宋体" w:eastAsia="宋体" w:cs="宋体"/>
          <w:sz w:val="32"/>
          <w:szCs w:val="32"/>
        </w:rPr>
        <w:t>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左右</w:t>
      </w:r>
      <w:r>
        <w:rPr>
          <w:rFonts w:hint="eastAsia" w:ascii="宋体" w:hAnsi="宋体" w:eastAsia="宋体" w:cs="宋体"/>
          <w:sz w:val="32"/>
          <w:szCs w:val="32"/>
        </w:rPr>
        <w:t>血液透析机同时使用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71574D80"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2.透析液浓度：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配液搅拌后应对完全溶解的浓缩透析液进行检测，可采用电导率检测或密度检测。电导率控制误差在≤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±2％。可兼容本院现有的AB液粉进行配置。（AB粉参数详见附图）。</w:t>
      </w:r>
    </w:p>
    <w:p w14:paraId="13248DC4"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3.微生物控制：配备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三级精密</w:t>
      </w:r>
      <w:r>
        <w:rPr>
          <w:rFonts w:hint="eastAsia" w:ascii="宋体" w:hAnsi="宋体" w:eastAsia="宋体" w:cs="宋体"/>
          <w:sz w:val="32"/>
          <w:szCs w:val="32"/>
        </w:rPr>
        <w:t>过滤系统，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实现未溶物与细菌的双重过滤。</w:t>
      </w:r>
      <w:r>
        <w:rPr>
          <w:rFonts w:hint="eastAsia" w:ascii="宋体" w:hAnsi="宋体" w:eastAsia="宋体" w:cs="宋体"/>
          <w:sz w:val="32"/>
          <w:szCs w:val="32"/>
        </w:rPr>
        <w:t>能够有效去除细菌、内毒素等微生物及其产物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，并配有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0.2μm高精度呼吸器。</w:t>
      </w:r>
      <w:r>
        <w:rPr>
          <w:rFonts w:hint="eastAsia" w:ascii="宋体" w:hAnsi="宋体" w:eastAsia="宋体" w:cs="宋体"/>
          <w:sz w:val="32"/>
          <w:szCs w:val="32"/>
        </w:rPr>
        <w:t>确保透析液的微生物指标符合国家标准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YY0598-2015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，细菌数不超过[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 w:cs="宋体"/>
          <w:sz w:val="32"/>
          <w:szCs w:val="32"/>
        </w:rPr>
        <w:t>]CFU/ml，内毒素含量不超过[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0.5</w:t>
      </w:r>
      <w:r>
        <w:rPr>
          <w:rFonts w:hint="eastAsia" w:ascii="宋体" w:hAnsi="宋体" w:eastAsia="宋体" w:cs="宋体"/>
          <w:sz w:val="32"/>
          <w:szCs w:val="32"/>
        </w:rPr>
        <w:t>]EU/ml。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兼容本院现有的消毒液进行消毒。（消毒液参数详见附图）。</w:t>
      </w:r>
    </w:p>
    <w:p w14:paraId="41B4E16E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三、设备配置</w:t>
      </w:r>
    </w:p>
    <w:p w14:paraId="4FA6CA92"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1.集中供液主机：包括原液储存罐、配比系统、搅拌装置、过滤装置、供液泵、电气控制系统等核心部件，各部件应采用优质、耐用且符合医疗设备标准的材料制造，主机具备良好的密封性和稳定性。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AB液可独立进行操作互不干涉。</w:t>
      </w:r>
    </w:p>
    <w:p w14:paraId="2BB40EF1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2.连接管路：采用无毒、耐腐蚀、耐高温、耐高压的医用级管路，管路内壁光滑，无微粒脱落风险，且应配备足够数量的连接接头和阀门，确保与血液透析机的连接安全、便捷、可靠，并便于维护和更换。</w:t>
      </w:r>
    </w:p>
    <w:p w14:paraId="40EF225B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3.监控系统：配备先进的在线监测仪器，能够实时显示并记录透析液的流量、浓度、温度、压力等关键参数，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具备数据保存功能，关键数据可保存，具有可追溯性，</w:t>
      </w:r>
      <w:r>
        <w:rPr>
          <w:rFonts w:hint="eastAsia" w:ascii="宋体" w:hAnsi="宋体" w:eastAsia="宋体" w:cs="宋体"/>
          <w:sz w:val="32"/>
          <w:szCs w:val="32"/>
        </w:rPr>
        <w:t>同时具备报警功能，当参数超出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正常</w:t>
      </w:r>
      <w:r>
        <w:rPr>
          <w:rFonts w:hint="eastAsia" w:ascii="宋体" w:hAnsi="宋体" w:eastAsia="宋体" w:cs="宋体"/>
          <w:sz w:val="32"/>
          <w:szCs w:val="32"/>
        </w:rPr>
        <w:t>范围时能及时发出声光报警信号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并自动停止当前操作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30902D42"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sz w:val="32"/>
          <w:szCs w:val="32"/>
        </w:rPr>
        <w:t>设备应具备自动化控制功能，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配液流程除最初加AB液干粉步骤外，消毒流程除最初加注消毒液步骤外，设备其余流程都应有全自动/全手控两套切换方案。</w:t>
      </w:r>
    </w:p>
    <w:p w14:paraId="5F03B845">
      <w:pPr>
        <w:numPr>
          <w:ilvl w:val="0"/>
          <w:numId w:val="0"/>
        </w:num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5.设备应具备定时功能，可实现定时供液、循环、开/关机等。</w:t>
      </w:r>
    </w:p>
    <w:p w14:paraId="3065F37C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四、质量与安全要求</w:t>
      </w:r>
    </w:p>
    <w:p w14:paraId="77C343B5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1.设备应符合国家及行业相关标准，如《YY 0598-2015 血液透析及相关治疗用浓缩物》等，提供医疗器械注册证及相关认证文件。</w:t>
      </w:r>
    </w:p>
    <w:p w14:paraId="5878C034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2.具备完善的安全保护措施，包括但不限于漏电保护、过载保护、短路保护、压力保护、液位保护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、漏液保护</w:t>
      </w:r>
      <w:r>
        <w:rPr>
          <w:rFonts w:hint="eastAsia" w:ascii="宋体" w:hAnsi="宋体" w:eastAsia="宋体" w:cs="宋体"/>
          <w:sz w:val="32"/>
          <w:szCs w:val="32"/>
        </w:rPr>
        <w:t>等，确保设备在运行过程中不会对操作人员和患者造成任何安全风险。</w:t>
      </w:r>
    </w:p>
    <w:p w14:paraId="5FB36832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五、安装与售后服务</w:t>
      </w:r>
    </w:p>
    <w:p w14:paraId="1F94CE8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1.供应商负责设备的运输、安装和调试工作，确保设备在血透室现场能够正常运行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，配置的透析液符合相关规定并出具检测报告。</w:t>
      </w:r>
      <w:r>
        <w:rPr>
          <w:rFonts w:hint="eastAsia" w:ascii="宋体" w:hAnsi="宋体" w:eastAsia="宋体" w:cs="宋体"/>
          <w:sz w:val="32"/>
          <w:szCs w:val="32"/>
        </w:rPr>
        <w:t>为医院相关人员提供全面、系统的操作培训，培训内容包括设备的原理、操作方法、日常维护保养、故障排除等方面，直至操作人员熟练掌握设备的使用技能。</w:t>
      </w:r>
    </w:p>
    <w:p w14:paraId="7EA25E3C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2.提供至少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年的质量保证期，在质保期内，供应商应免费提供设备的维修、保养服务，并及时响应医院的维修需求。质保期外，供应商应提供长期的技术支持和优惠的维修服务，确保设备的持续稳定运行。</w:t>
      </w:r>
    </w:p>
    <w:p w14:paraId="1E716557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六、商务条款</w:t>
      </w:r>
    </w:p>
    <w:p w14:paraId="4821B4E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1.投标方应提供详细的设备报价清单，包括设备主机、配套设备、备品备件、安装调试费用、培训费用、售后服务费用等所有相关费用，报价应为含税价，并明确交货期。</w:t>
      </w:r>
    </w:p>
    <w:p w14:paraId="1F792AF3">
      <w:pPr>
        <w:rPr>
          <w:rFonts w:hint="eastAsia" w:ascii="宋体" w:hAnsi="宋体" w:eastAsia="宋体" w:cs="宋体"/>
          <w:sz w:val="32"/>
          <w:szCs w:val="32"/>
        </w:rPr>
      </w:pPr>
    </w:p>
    <w:p w14:paraId="6B750EA5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B1BB4BC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617283A2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9099727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7FD4E6C6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我院现有AB粉参数附图：</w:t>
      </w:r>
    </w:p>
    <w:p w14:paraId="5C39BB59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2823210" cy="3271520"/>
            <wp:effectExtent l="0" t="0" r="15240" b="5080"/>
            <wp:docPr id="3" name="图片 3" descr="6badc2f19c9d3e63326ee1fb6b97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badc2f19c9d3e63326ee1fb6b972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2816860" cy="4635500"/>
            <wp:effectExtent l="0" t="0" r="2540" b="12700"/>
            <wp:docPr id="2" name="图片 2" descr="8819b2c571904ee95d80ecc30167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819b2c571904ee95d80ecc30167be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B4A9B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760DBD5B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我院现有消毒液参数附图：</w:t>
      </w:r>
    </w:p>
    <w:p w14:paraId="7DD89DFE"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3427095" cy="3696335"/>
            <wp:effectExtent l="0" t="0" r="1905" b="18415"/>
            <wp:docPr id="1" name="图片 1" descr="5cec3ec2071aa174f04ad1d148573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ec3ec2071aa174f04ad1d1485739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7095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0D16F">
      <w:pPr>
        <w:numPr>
          <w:ilvl w:val="0"/>
          <w:numId w:val="0"/>
        </w:numPr>
        <w:bidi w:val="0"/>
        <w:rPr>
          <w:rFonts w:hint="default"/>
          <w:sz w:val="28"/>
          <w:szCs w:val="28"/>
          <w:lang w:val="en-US" w:eastAsia="zh-CN"/>
        </w:rPr>
      </w:pPr>
    </w:p>
    <w:p w14:paraId="50271F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94A90"/>
    <w:rsid w:val="5A69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2025-01-16T09:05:00Z</dcterms:created>
  <dc:creator>董睿</dc:creator>
  <cp:lastModifiedBy>董睿</cp:lastModifiedBy>
  <dcterms:modified xsi:type="dcterms:W3CDTF">2025-01-16T09:05:28Z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41BA6D8AA31C44D0A6B9DE0E24FA3398_11</vt:lpwstr>
  </property>
  <property fmtid="{D5CDD505-2E9C-101B-9397-08002B2CF9AE}" pid="4" name="KSOTemplateDocerSaveRecord">
    <vt:lpwstr>eyJoZGlkIjoiZjY4YzgzNjQ1ZGZlYTEyNjNjMzk5YmVmNTRmZDcyYzEiLCJ1c2VySWQiOiIxMjA0Njg5MjU1In0=</vt:lpwstr>
  </property>
</Properties>
</file>