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F6236">
      <w:pPr>
        <w:ind w:left="2240" w:hanging="2240" w:hangingChars="800"/>
        <w:rPr>
          <w:rFonts w:hint="eastAsia"/>
          <w:sz w:val="28"/>
          <w:szCs w:val="28"/>
          <w:lang w:val="en-US" w:eastAsia="zh-CN"/>
        </w:rPr>
      </w:pPr>
    </w:p>
    <w:p w14:paraId="1D6DACE3">
      <w:pPr>
        <w:ind w:left="2811" w:hanging="2811" w:hangingChars="1000"/>
        <w:jc w:val="both"/>
        <w:rPr>
          <w:rFonts w:hint="eastAsia"/>
          <w:b/>
          <w:bCs/>
          <w:sz w:val="28"/>
          <w:szCs w:val="28"/>
          <w:lang w:val="en-US" w:eastAsia="zh-CN"/>
        </w:rPr>
      </w:pPr>
      <w:r>
        <w:rPr>
          <w:rFonts w:hint="eastAsia"/>
          <w:b/>
          <w:bCs/>
          <w:sz w:val="28"/>
          <w:szCs w:val="28"/>
          <w:lang w:val="en-US" w:eastAsia="zh-CN"/>
        </w:rPr>
        <w:t xml:space="preserve">南京鼓楼医院集团仪征医院麻醉监护仪、手术无影灯、冲击波治疗仪、彩色超声检查仪项目调研公告 </w:t>
      </w:r>
      <w:r>
        <w:rPr>
          <w:rFonts w:hint="eastAsia"/>
          <w:sz w:val="28"/>
          <w:szCs w:val="28"/>
          <w:lang w:val="en-US" w:eastAsia="zh-CN"/>
        </w:rPr>
        <w:t xml:space="preserve">      </w:t>
      </w:r>
      <w:r>
        <w:rPr>
          <w:rFonts w:hint="eastAsia"/>
          <w:b/>
          <w:bCs/>
          <w:sz w:val="28"/>
          <w:szCs w:val="28"/>
          <w:lang w:val="en-US" w:eastAsia="zh-CN"/>
        </w:rPr>
        <w:t>（编号：YZHCGB2024002）</w:t>
      </w:r>
    </w:p>
    <w:p w14:paraId="37DFF326">
      <w:pPr>
        <w:bidi w:val="0"/>
        <w:ind w:firstLine="560" w:firstLineChars="200"/>
        <w:rPr>
          <w:rFonts w:hint="eastAsia"/>
          <w:sz w:val="28"/>
          <w:szCs w:val="28"/>
          <w:lang w:val="en-US" w:eastAsia="zh-CN"/>
        </w:rPr>
      </w:pPr>
      <w:r>
        <w:rPr>
          <w:rFonts w:hint="eastAsia"/>
          <w:sz w:val="28"/>
          <w:szCs w:val="28"/>
          <w:lang w:val="en-US" w:eastAsia="zh-CN"/>
        </w:rPr>
        <w:t>南京鼓楼医院集团仪征医院因医疗业务发展需求现对手术室麻醉监护仪、手术无影灯、冲击波治疗仪和体检中心彩色超声检查仪项目进行公开调研，欢迎具有相应合格资质条件及本项目所需服务能力的供应商（厂家）前来参与。本院将根据调研结果情况，依据相关法律法规进行采购。</w:t>
      </w:r>
    </w:p>
    <w:p w14:paraId="6D9671CE">
      <w:pPr>
        <w:numPr>
          <w:ilvl w:val="0"/>
          <w:numId w:val="1"/>
        </w:numPr>
        <w:bidi w:val="0"/>
        <w:rPr>
          <w:rFonts w:hint="eastAsia"/>
          <w:b/>
          <w:bCs/>
          <w:sz w:val="28"/>
          <w:szCs w:val="28"/>
          <w:lang w:val="en-US" w:eastAsia="zh-CN"/>
        </w:rPr>
      </w:pPr>
      <w:r>
        <w:rPr>
          <w:rFonts w:hint="eastAsia"/>
          <w:b/>
          <w:bCs/>
          <w:sz w:val="28"/>
          <w:szCs w:val="28"/>
          <w:lang w:val="en-US" w:eastAsia="zh-CN"/>
        </w:rPr>
        <w:t>调研项目：</w:t>
      </w:r>
    </w:p>
    <w:tbl>
      <w:tblPr>
        <w:tblStyle w:val="11"/>
        <w:tblW w:w="943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80"/>
        <w:gridCol w:w="1605"/>
        <w:gridCol w:w="1035"/>
        <w:gridCol w:w="1095"/>
        <w:gridCol w:w="1500"/>
        <w:gridCol w:w="1920"/>
      </w:tblGrid>
      <w:tr w14:paraId="7FE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00" w:type="dxa"/>
          </w:tcPr>
          <w:p w14:paraId="1C472C1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1380" w:type="dxa"/>
          </w:tcPr>
          <w:p w14:paraId="3E0DFB1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使用科室</w:t>
            </w:r>
          </w:p>
        </w:tc>
        <w:tc>
          <w:tcPr>
            <w:tcW w:w="1605" w:type="dxa"/>
          </w:tcPr>
          <w:p w14:paraId="36484B5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项目名称</w:t>
            </w:r>
          </w:p>
        </w:tc>
        <w:tc>
          <w:tcPr>
            <w:tcW w:w="1035" w:type="dxa"/>
          </w:tcPr>
          <w:p w14:paraId="278BE6FA">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单位</w:t>
            </w:r>
          </w:p>
        </w:tc>
        <w:tc>
          <w:tcPr>
            <w:tcW w:w="1095" w:type="dxa"/>
          </w:tcPr>
          <w:p w14:paraId="4A532275">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数量</w:t>
            </w:r>
          </w:p>
        </w:tc>
        <w:tc>
          <w:tcPr>
            <w:tcW w:w="1500" w:type="dxa"/>
          </w:tcPr>
          <w:p w14:paraId="5A51375A">
            <w:pPr>
              <w:numPr>
                <w:ilvl w:val="0"/>
                <w:numId w:val="0"/>
              </w:numPr>
              <w:bidi w:val="0"/>
              <w:ind w:left="280" w:hanging="280" w:hangingChars="100"/>
              <w:jc w:val="center"/>
              <w:rPr>
                <w:rFonts w:hint="eastAsia"/>
                <w:sz w:val="28"/>
                <w:szCs w:val="28"/>
                <w:vertAlign w:val="baseline"/>
                <w:lang w:val="en-US" w:eastAsia="zh-CN"/>
              </w:rPr>
            </w:pPr>
            <w:r>
              <w:rPr>
                <w:rFonts w:hint="eastAsia"/>
                <w:sz w:val="28"/>
                <w:szCs w:val="28"/>
                <w:vertAlign w:val="baseline"/>
                <w:lang w:val="en-US" w:eastAsia="zh-CN"/>
              </w:rPr>
              <w:t>预算总价（万元）</w:t>
            </w:r>
          </w:p>
        </w:tc>
        <w:tc>
          <w:tcPr>
            <w:tcW w:w="1920" w:type="dxa"/>
          </w:tcPr>
          <w:p w14:paraId="53D0AE0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备注</w:t>
            </w:r>
          </w:p>
        </w:tc>
      </w:tr>
      <w:tr w14:paraId="61CE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0" w:type="dxa"/>
          </w:tcPr>
          <w:p w14:paraId="21BAAF25">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380" w:type="dxa"/>
          </w:tcPr>
          <w:p w14:paraId="5B991524">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麻醉科</w:t>
            </w:r>
          </w:p>
        </w:tc>
        <w:tc>
          <w:tcPr>
            <w:tcW w:w="1605" w:type="dxa"/>
          </w:tcPr>
          <w:p w14:paraId="615D2E96">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麻醉监护仪</w:t>
            </w:r>
          </w:p>
        </w:tc>
        <w:tc>
          <w:tcPr>
            <w:tcW w:w="1035" w:type="dxa"/>
          </w:tcPr>
          <w:p w14:paraId="0C53A793">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台</w:t>
            </w:r>
          </w:p>
        </w:tc>
        <w:tc>
          <w:tcPr>
            <w:tcW w:w="1095" w:type="dxa"/>
          </w:tcPr>
          <w:p w14:paraId="33EFE97B">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14:paraId="1F3B5A80">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10</w:t>
            </w:r>
          </w:p>
        </w:tc>
        <w:tc>
          <w:tcPr>
            <w:tcW w:w="1920" w:type="dxa"/>
          </w:tcPr>
          <w:p w14:paraId="7F68AE40">
            <w:pPr>
              <w:numPr>
                <w:ilvl w:val="0"/>
                <w:numId w:val="0"/>
              </w:numPr>
              <w:bidi w:val="0"/>
              <w:jc w:val="both"/>
              <w:rPr>
                <w:rFonts w:hint="eastAsia"/>
                <w:sz w:val="24"/>
                <w:szCs w:val="24"/>
                <w:vertAlign w:val="baseline"/>
                <w:lang w:val="en-US" w:eastAsia="zh-CN"/>
              </w:rPr>
            </w:pPr>
            <w:r>
              <w:rPr>
                <w:rFonts w:hint="eastAsia"/>
                <w:sz w:val="24"/>
                <w:szCs w:val="24"/>
                <w:vertAlign w:val="baseline"/>
                <w:lang w:val="en-US" w:eastAsia="zh-CN"/>
              </w:rPr>
              <w:t>标配+有创血压、呼末CO2+体温探头，配置详见附件</w:t>
            </w:r>
          </w:p>
        </w:tc>
      </w:tr>
      <w:tr w14:paraId="40A5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0" w:type="dxa"/>
          </w:tcPr>
          <w:p w14:paraId="03F65816">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2</w:t>
            </w:r>
          </w:p>
        </w:tc>
        <w:tc>
          <w:tcPr>
            <w:tcW w:w="1380" w:type="dxa"/>
          </w:tcPr>
          <w:p w14:paraId="4D837E79">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麻醉科</w:t>
            </w:r>
          </w:p>
        </w:tc>
        <w:tc>
          <w:tcPr>
            <w:tcW w:w="1605" w:type="dxa"/>
          </w:tcPr>
          <w:p w14:paraId="022D32FE">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手术无影灯</w:t>
            </w:r>
          </w:p>
        </w:tc>
        <w:tc>
          <w:tcPr>
            <w:tcW w:w="1035" w:type="dxa"/>
          </w:tcPr>
          <w:p w14:paraId="0C8EAF10">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套</w:t>
            </w:r>
          </w:p>
        </w:tc>
        <w:tc>
          <w:tcPr>
            <w:tcW w:w="1095" w:type="dxa"/>
          </w:tcPr>
          <w:p w14:paraId="04A99D57">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2</w:t>
            </w:r>
          </w:p>
        </w:tc>
        <w:tc>
          <w:tcPr>
            <w:tcW w:w="1500" w:type="dxa"/>
          </w:tcPr>
          <w:p w14:paraId="4E496478">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17</w:t>
            </w:r>
          </w:p>
        </w:tc>
        <w:tc>
          <w:tcPr>
            <w:tcW w:w="1920" w:type="dxa"/>
          </w:tcPr>
          <w:p w14:paraId="423BED78">
            <w:pPr>
              <w:numPr>
                <w:ilvl w:val="0"/>
                <w:numId w:val="0"/>
              </w:numPr>
              <w:bidi w:val="0"/>
              <w:jc w:val="center"/>
              <w:rPr>
                <w:rFonts w:hint="eastAsia"/>
                <w:sz w:val="24"/>
                <w:szCs w:val="24"/>
                <w:vertAlign w:val="baseline"/>
                <w:lang w:val="en-US" w:eastAsia="zh-CN"/>
              </w:rPr>
            </w:pPr>
            <w:r>
              <w:rPr>
                <w:rFonts w:hint="eastAsia"/>
                <w:sz w:val="24"/>
                <w:szCs w:val="24"/>
                <w:vertAlign w:val="baseline"/>
                <w:lang w:val="en-US" w:eastAsia="zh-CN"/>
              </w:rPr>
              <w:t>双头LED配置,详见附件</w:t>
            </w:r>
          </w:p>
        </w:tc>
      </w:tr>
      <w:tr w14:paraId="4D27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0" w:type="dxa"/>
          </w:tcPr>
          <w:p w14:paraId="2C3B45A9">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3</w:t>
            </w:r>
          </w:p>
        </w:tc>
        <w:tc>
          <w:tcPr>
            <w:tcW w:w="1380" w:type="dxa"/>
          </w:tcPr>
          <w:p w14:paraId="46450233">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麻醉科</w:t>
            </w:r>
          </w:p>
        </w:tc>
        <w:tc>
          <w:tcPr>
            <w:tcW w:w="1605" w:type="dxa"/>
          </w:tcPr>
          <w:p w14:paraId="3FC90DC7">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冲击波治疗仪</w:t>
            </w:r>
          </w:p>
        </w:tc>
        <w:tc>
          <w:tcPr>
            <w:tcW w:w="1035" w:type="dxa"/>
          </w:tcPr>
          <w:p w14:paraId="025F035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台</w:t>
            </w:r>
          </w:p>
        </w:tc>
        <w:tc>
          <w:tcPr>
            <w:tcW w:w="1095" w:type="dxa"/>
          </w:tcPr>
          <w:p w14:paraId="7D4C168F">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14:paraId="037CF67D">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35</w:t>
            </w:r>
          </w:p>
        </w:tc>
        <w:tc>
          <w:tcPr>
            <w:tcW w:w="1920" w:type="dxa"/>
          </w:tcPr>
          <w:p w14:paraId="48BC03A4">
            <w:pPr>
              <w:numPr>
                <w:ilvl w:val="0"/>
                <w:numId w:val="0"/>
              </w:numPr>
              <w:bidi w:val="0"/>
              <w:jc w:val="center"/>
              <w:rPr>
                <w:rFonts w:hint="eastAsia"/>
                <w:sz w:val="24"/>
                <w:szCs w:val="24"/>
                <w:vertAlign w:val="baseline"/>
                <w:lang w:val="en-US" w:eastAsia="zh-CN"/>
              </w:rPr>
            </w:pPr>
            <w:r>
              <w:rPr>
                <w:rFonts w:hint="eastAsia"/>
                <w:sz w:val="24"/>
                <w:szCs w:val="24"/>
                <w:vertAlign w:val="baseline"/>
                <w:lang w:val="en-US" w:eastAsia="zh-CN"/>
              </w:rPr>
              <w:t>立式单通道配置详见附件</w:t>
            </w:r>
          </w:p>
        </w:tc>
      </w:tr>
      <w:tr w14:paraId="478B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00" w:type="dxa"/>
          </w:tcPr>
          <w:p w14:paraId="44193A03">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4</w:t>
            </w:r>
          </w:p>
        </w:tc>
        <w:tc>
          <w:tcPr>
            <w:tcW w:w="1380" w:type="dxa"/>
          </w:tcPr>
          <w:p w14:paraId="6A11222C">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体检中心</w:t>
            </w:r>
          </w:p>
        </w:tc>
        <w:tc>
          <w:tcPr>
            <w:tcW w:w="1605" w:type="dxa"/>
          </w:tcPr>
          <w:p w14:paraId="275127F2">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彩色超声检查仪</w:t>
            </w:r>
          </w:p>
        </w:tc>
        <w:tc>
          <w:tcPr>
            <w:tcW w:w="1035" w:type="dxa"/>
          </w:tcPr>
          <w:p w14:paraId="2246EE61">
            <w:pPr>
              <w:numPr>
                <w:ilvl w:val="0"/>
                <w:numId w:val="0"/>
              </w:numPr>
              <w:bidi w:val="0"/>
              <w:jc w:val="center"/>
              <w:rPr>
                <w:rFonts w:hint="eastAsia"/>
                <w:sz w:val="28"/>
                <w:szCs w:val="28"/>
                <w:vertAlign w:val="baseline"/>
                <w:lang w:val="en-US" w:eastAsia="zh-CN"/>
              </w:rPr>
            </w:pPr>
            <w:r>
              <w:rPr>
                <w:rFonts w:hint="eastAsia"/>
                <w:sz w:val="28"/>
                <w:szCs w:val="28"/>
                <w:vertAlign w:val="baseline"/>
                <w:lang w:val="en-US" w:eastAsia="zh-CN"/>
              </w:rPr>
              <w:t>台</w:t>
            </w:r>
          </w:p>
        </w:tc>
        <w:tc>
          <w:tcPr>
            <w:tcW w:w="1095" w:type="dxa"/>
          </w:tcPr>
          <w:p w14:paraId="00F877AB">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1</w:t>
            </w:r>
          </w:p>
        </w:tc>
        <w:tc>
          <w:tcPr>
            <w:tcW w:w="1500" w:type="dxa"/>
          </w:tcPr>
          <w:p w14:paraId="5484A7F7">
            <w:pPr>
              <w:numPr>
                <w:ilvl w:val="0"/>
                <w:numId w:val="0"/>
              </w:numPr>
              <w:bidi w:val="0"/>
              <w:jc w:val="center"/>
              <w:rPr>
                <w:rFonts w:hint="default"/>
                <w:sz w:val="28"/>
                <w:szCs w:val="28"/>
                <w:vertAlign w:val="baseline"/>
                <w:lang w:val="en-US" w:eastAsia="zh-CN"/>
              </w:rPr>
            </w:pPr>
            <w:r>
              <w:rPr>
                <w:rFonts w:hint="eastAsia"/>
                <w:sz w:val="28"/>
                <w:szCs w:val="28"/>
                <w:vertAlign w:val="baseline"/>
                <w:lang w:val="en-US" w:eastAsia="zh-CN"/>
              </w:rPr>
              <w:t>80</w:t>
            </w:r>
          </w:p>
        </w:tc>
        <w:tc>
          <w:tcPr>
            <w:tcW w:w="1920" w:type="dxa"/>
          </w:tcPr>
          <w:p w14:paraId="695998D3">
            <w:pPr>
              <w:numPr>
                <w:ilvl w:val="0"/>
                <w:numId w:val="0"/>
              </w:numPr>
              <w:bidi w:val="0"/>
              <w:jc w:val="center"/>
              <w:rPr>
                <w:rFonts w:hint="eastAsia"/>
                <w:sz w:val="24"/>
                <w:szCs w:val="24"/>
                <w:vertAlign w:val="baseline"/>
                <w:lang w:val="en-US" w:eastAsia="zh-CN"/>
              </w:rPr>
            </w:pPr>
            <w:r>
              <w:rPr>
                <w:rFonts w:hint="eastAsia"/>
                <w:sz w:val="24"/>
                <w:szCs w:val="24"/>
                <w:vertAlign w:val="baseline"/>
                <w:lang w:val="en-US" w:eastAsia="zh-CN"/>
              </w:rPr>
              <w:t>线阵、腹部、腔内、心脏探头配置，详见附件</w:t>
            </w:r>
          </w:p>
        </w:tc>
      </w:tr>
    </w:tbl>
    <w:p w14:paraId="64634283">
      <w:pPr>
        <w:numPr>
          <w:ilvl w:val="0"/>
          <w:numId w:val="0"/>
        </w:numPr>
        <w:bidi w:val="0"/>
        <w:rPr>
          <w:rFonts w:hint="eastAsia"/>
          <w:sz w:val="28"/>
          <w:szCs w:val="28"/>
          <w:lang w:val="en-US" w:eastAsia="zh-CN"/>
        </w:rPr>
      </w:pPr>
    </w:p>
    <w:p w14:paraId="0FF2DD59">
      <w:pPr>
        <w:numPr>
          <w:ilvl w:val="0"/>
          <w:numId w:val="1"/>
        </w:numPr>
        <w:bidi w:val="0"/>
        <w:ind w:left="0" w:leftChars="0" w:firstLine="0" w:firstLineChars="0"/>
        <w:rPr>
          <w:rFonts w:hint="eastAsia"/>
          <w:b/>
          <w:bCs/>
          <w:sz w:val="28"/>
          <w:szCs w:val="28"/>
          <w:lang w:val="en-US" w:eastAsia="zh-CN"/>
        </w:rPr>
      </w:pPr>
      <w:r>
        <w:rPr>
          <w:rFonts w:hint="eastAsia"/>
          <w:b/>
          <w:bCs/>
          <w:sz w:val="28"/>
          <w:szCs w:val="28"/>
          <w:lang w:val="en-US" w:eastAsia="zh-CN"/>
        </w:rPr>
        <w:t>报名须知：</w:t>
      </w:r>
    </w:p>
    <w:p w14:paraId="4AD73FFA">
      <w:pPr>
        <w:numPr>
          <w:ilvl w:val="0"/>
          <w:numId w:val="2"/>
        </w:numPr>
        <w:bidi w:val="0"/>
        <w:ind w:leftChars="0"/>
        <w:rPr>
          <w:rFonts w:hint="eastAsia"/>
          <w:sz w:val="28"/>
          <w:szCs w:val="28"/>
          <w:lang w:val="en-US" w:eastAsia="zh-CN"/>
        </w:rPr>
      </w:pPr>
      <w:r>
        <w:rPr>
          <w:rFonts w:hint="eastAsia"/>
          <w:sz w:val="28"/>
          <w:szCs w:val="28"/>
          <w:lang w:val="en-US" w:eastAsia="zh-CN"/>
        </w:rPr>
        <w:t>报名时间：2024年8月20日至2024年8月26日</w:t>
      </w:r>
    </w:p>
    <w:p w14:paraId="33508C73">
      <w:pPr>
        <w:numPr>
          <w:ilvl w:val="0"/>
          <w:numId w:val="2"/>
        </w:numPr>
        <w:bidi w:val="0"/>
        <w:ind w:leftChars="0"/>
        <w:rPr>
          <w:rFonts w:hint="default"/>
          <w:sz w:val="28"/>
          <w:szCs w:val="28"/>
          <w:lang w:val="en-US" w:eastAsia="zh-CN"/>
        </w:rPr>
      </w:pPr>
      <w:r>
        <w:rPr>
          <w:rFonts w:hint="eastAsia"/>
          <w:sz w:val="28"/>
          <w:szCs w:val="28"/>
          <w:lang w:val="en-US" w:eastAsia="zh-CN"/>
        </w:rPr>
        <w:t>截止时间：2024年8月26日下午17:00</w:t>
      </w:r>
    </w:p>
    <w:p w14:paraId="4AC5578F">
      <w:pPr>
        <w:numPr>
          <w:ilvl w:val="0"/>
          <w:numId w:val="0"/>
        </w:numPr>
        <w:bidi w:val="0"/>
        <w:ind w:firstLine="281" w:firstLineChars="100"/>
        <w:rPr>
          <w:rFonts w:hint="eastAsia"/>
          <w:b/>
          <w:bCs/>
          <w:sz w:val="28"/>
          <w:szCs w:val="28"/>
          <w:lang w:val="en-US" w:eastAsia="zh-CN"/>
        </w:rPr>
      </w:pPr>
      <w:r>
        <w:rPr>
          <w:rFonts w:hint="eastAsia"/>
          <w:b/>
          <w:bCs/>
          <w:sz w:val="28"/>
          <w:szCs w:val="28"/>
          <w:lang w:val="en-US" w:eastAsia="zh-CN"/>
        </w:rPr>
        <w:t>注意</w:t>
      </w:r>
      <w:r>
        <w:rPr>
          <w:rFonts w:hint="eastAsia"/>
          <w:b w:val="0"/>
          <w:bCs w:val="0"/>
          <w:sz w:val="28"/>
          <w:szCs w:val="28"/>
          <w:lang w:val="en-US" w:eastAsia="zh-CN"/>
        </w:rPr>
        <w:t>：</w:t>
      </w:r>
      <w:r>
        <w:rPr>
          <w:rFonts w:hint="eastAsia"/>
          <w:b/>
          <w:bCs/>
          <w:sz w:val="28"/>
          <w:szCs w:val="28"/>
          <w:lang w:val="en-US" w:eastAsia="zh-CN"/>
        </w:rPr>
        <w:t>请按附件要求提供报名材料。</w:t>
      </w:r>
    </w:p>
    <w:p w14:paraId="7FC77FD2">
      <w:pPr>
        <w:pStyle w:val="14"/>
        <w:adjustRightInd w:val="0"/>
        <w:spacing w:before="160" w:after="160"/>
        <w:ind w:firstLine="0" w:firstLineChars="0"/>
        <w:contextualSpacing/>
        <w:jc w:val="both"/>
        <w:rPr>
          <w:rFonts w:hint="eastAsia" w:ascii="宋体" w:hAnsi="宋体" w:eastAsia="宋体"/>
          <w:b/>
          <w:sz w:val="36"/>
          <w:szCs w:val="21"/>
          <w:lang w:eastAsia="zh-CN"/>
        </w:rPr>
      </w:pPr>
      <w:bookmarkStart w:id="0" w:name="_GoBack"/>
      <w:bookmarkEnd w:id="0"/>
    </w:p>
    <w:p w14:paraId="207D3B87">
      <w:pPr>
        <w:pStyle w:val="14"/>
        <w:adjustRightInd w:val="0"/>
        <w:spacing w:before="160" w:after="160"/>
        <w:ind w:firstLine="0" w:firstLineChars="0"/>
        <w:contextualSpacing/>
        <w:jc w:val="both"/>
        <w:rPr>
          <w:rFonts w:hint="eastAsia" w:ascii="宋体" w:hAnsi="宋体" w:eastAsia="宋体"/>
          <w:b/>
          <w:sz w:val="36"/>
          <w:szCs w:val="21"/>
          <w:lang w:eastAsia="zh-CN"/>
        </w:rPr>
      </w:pPr>
    </w:p>
    <w:p w14:paraId="27B862CB">
      <w:pPr>
        <w:pStyle w:val="14"/>
        <w:adjustRightInd w:val="0"/>
        <w:spacing w:before="160" w:after="160"/>
        <w:ind w:firstLine="0" w:firstLineChars="0"/>
        <w:contextualSpacing/>
        <w:jc w:val="both"/>
        <w:rPr>
          <w:rFonts w:hint="default" w:ascii="宋体" w:hAnsi="宋体" w:eastAsia="宋体"/>
          <w:b/>
          <w:sz w:val="36"/>
          <w:szCs w:val="21"/>
          <w:lang w:val="en-US" w:eastAsia="zh-CN"/>
        </w:rPr>
      </w:pPr>
      <w:r>
        <w:rPr>
          <w:rFonts w:hint="eastAsia" w:ascii="宋体" w:hAnsi="宋体" w:eastAsia="宋体"/>
          <w:b/>
          <w:sz w:val="36"/>
          <w:szCs w:val="21"/>
          <w:lang w:eastAsia="zh-CN"/>
        </w:rPr>
        <w:t>附件：</w:t>
      </w:r>
    </w:p>
    <w:p w14:paraId="5353352B">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2"/>
          <w:szCs w:val="32"/>
          <w:lang w:eastAsia="zh-CN"/>
        </w:rPr>
        <w:t>南京鼓楼</w:t>
      </w:r>
      <w:r>
        <w:rPr>
          <w:rFonts w:hint="eastAsia" w:ascii="宋体" w:hAnsi="宋体" w:eastAsia="宋体"/>
          <w:b/>
          <w:sz w:val="32"/>
          <w:szCs w:val="32"/>
        </w:rPr>
        <w:t>医院</w:t>
      </w:r>
      <w:r>
        <w:rPr>
          <w:rFonts w:hint="eastAsia" w:ascii="宋体" w:hAnsi="宋体" w:eastAsia="宋体"/>
          <w:b/>
          <w:sz w:val="32"/>
          <w:szCs w:val="32"/>
          <w:lang w:eastAsia="zh-CN"/>
        </w:rPr>
        <w:t>集团仪征医院</w:t>
      </w:r>
      <w:r>
        <w:rPr>
          <w:rFonts w:hint="eastAsia"/>
          <w:b/>
          <w:bCs/>
          <w:sz w:val="30"/>
          <w:szCs w:val="30"/>
          <w:lang w:val="en-US" w:eastAsia="zh-CN"/>
        </w:rPr>
        <w:t>病人监护仪、手术无影灯、冲击波治疗仪、彩色超声检查仪</w:t>
      </w:r>
      <w:r>
        <w:rPr>
          <w:rFonts w:hint="eastAsia" w:ascii="宋体" w:hAnsi="宋体" w:eastAsia="宋体"/>
          <w:b/>
          <w:sz w:val="32"/>
          <w:szCs w:val="32"/>
        </w:rPr>
        <w:t>需求调研材料目录</w:t>
      </w:r>
    </w:p>
    <w:p w14:paraId="2036C1D9">
      <w:pPr>
        <w:pStyle w:val="14"/>
        <w:adjustRightInd w:val="0"/>
        <w:spacing w:before="160" w:after="160"/>
        <w:contextualSpacing/>
        <w:rPr>
          <w:rFonts w:ascii="宋体" w:hAnsi="宋体" w:eastAsia="宋体"/>
          <w:color w:val="auto"/>
          <w:szCs w:val="21"/>
        </w:rPr>
      </w:pPr>
      <w:r>
        <w:rPr>
          <w:rFonts w:hint="eastAsia" w:ascii="宋体" w:hAnsi="宋体" w:eastAsia="宋体"/>
          <w:szCs w:val="21"/>
        </w:rPr>
        <w:t>欢迎生产企业、经营企业以及潜在供应商提交产品资料。有意向者必须提供符合我院要求的报名文件，并</w:t>
      </w:r>
      <w:r>
        <w:rPr>
          <w:rFonts w:hint="eastAsia" w:ascii="宋体" w:hAnsi="宋体" w:eastAsia="宋体"/>
          <w:bCs/>
          <w:szCs w:val="21"/>
        </w:rPr>
        <w:t>保证所提供的各种材料真实、有效、齐全，承担相应的法律责任</w:t>
      </w:r>
      <w:r>
        <w:rPr>
          <w:rFonts w:hint="eastAsia" w:ascii="宋体" w:hAnsi="宋体" w:eastAsia="宋体"/>
          <w:bCs/>
          <w:color w:val="auto"/>
          <w:szCs w:val="21"/>
        </w:rPr>
        <w:t>。</w:t>
      </w:r>
      <w:r>
        <w:rPr>
          <w:rFonts w:hint="eastAsia" w:ascii="宋体" w:hAnsi="宋体" w:eastAsia="宋体"/>
          <w:color w:val="auto"/>
          <w:szCs w:val="21"/>
        </w:rPr>
        <w:t>请按下列顺序装订并标明页码，并严格按照本清单内容递交材料</w:t>
      </w:r>
      <w:r>
        <w:rPr>
          <w:rFonts w:hint="eastAsia" w:ascii="宋体" w:hAnsi="宋体" w:eastAsia="宋体" w:cs="Times New Roman"/>
          <w:bCs/>
          <w:color w:val="auto"/>
          <w:szCs w:val="21"/>
        </w:rPr>
        <w:t>并加盖单位公章</w:t>
      </w:r>
      <w:r>
        <w:rPr>
          <w:rFonts w:hint="eastAsia" w:ascii="宋体" w:hAnsi="宋体" w:eastAsia="宋体"/>
          <w:color w:val="auto"/>
          <w:szCs w:val="21"/>
        </w:rPr>
        <w:t>，否则视为自动弃权！</w:t>
      </w:r>
    </w:p>
    <w:p w14:paraId="28A2342D">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1.封面：产品名称、品牌型号、注册证号、有无耗材/试剂、公司名称、联系人姓名及联系方式。</w:t>
      </w:r>
    </w:p>
    <w:p w14:paraId="67A5D2E0">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2.设备需求调研内容：按表1、表2、表3要求填写。</w:t>
      </w:r>
    </w:p>
    <w:p w14:paraId="130006E9">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3.技术参数、配置清单。</w:t>
      </w:r>
    </w:p>
    <w:p w14:paraId="0BCA54F0">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4.资质及授权书：生产厂家、</w:t>
      </w:r>
      <w:r>
        <w:rPr>
          <w:rFonts w:hint="eastAsia" w:ascii="宋体" w:hAnsi="宋体" w:eastAsia="宋体" w:cs="宋体"/>
          <w:color w:val="auto"/>
          <w:szCs w:val="21"/>
          <w:shd w:val="clear" w:color="auto" w:fill="FFFFFF"/>
        </w:rPr>
        <w:t>中间级代理商、供应商</w:t>
      </w:r>
      <w:r>
        <w:rPr>
          <w:rFonts w:hint="eastAsia" w:ascii="宋体" w:hAnsi="宋体" w:eastAsia="宋体"/>
          <w:color w:val="auto"/>
          <w:szCs w:val="21"/>
        </w:rPr>
        <w:t>。</w:t>
      </w:r>
    </w:p>
    <w:p w14:paraId="377F18C2">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5.产品注册证：提供设备生产厂家对投标产品的设计使用范围、期限等信息（如说明书、注册证、铭牌等）复印件，并提供设备使用超出范围后使用可能存在潜在临床风险及法规问题，说明文件并加盖原厂及投标公司公章。</w:t>
      </w:r>
    </w:p>
    <w:p w14:paraId="12A2CDE8">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6.法人代表授权书: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p w14:paraId="5017469D">
      <w:pPr>
        <w:pStyle w:val="14"/>
        <w:adjustRightInd w:val="0"/>
        <w:spacing w:before="160" w:after="160"/>
        <w:contextualSpacing/>
        <w:rPr>
          <w:rFonts w:ascii="宋体" w:hAnsi="宋体"/>
          <w:color w:val="auto"/>
          <w:szCs w:val="21"/>
        </w:rPr>
      </w:pPr>
      <w:r>
        <w:rPr>
          <w:rFonts w:hint="eastAsia" w:ascii="宋体" w:hAnsi="宋体" w:eastAsia="宋体"/>
          <w:color w:val="auto"/>
          <w:szCs w:val="21"/>
        </w:rPr>
        <w:t>7.</w:t>
      </w:r>
      <w:r>
        <w:rPr>
          <w:rFonts w:hint="eastAsia" w:ascii="宋体" w:hAnsi="宋体" w:eastAsia="宋体" w:cs="Times New Roman"/>
          <w:color w:val="auto"/>
          <w:szCs w:val="21"/>
        </w:rPr>
        <w:t xml:space="preserve"> 未被“信用中国”网站(www.creditchina.gov.cn)列入失信被执行人、重大税收违法案件当事人名单的证明材料（截图）</w:t>
      </w:r>
      <w:r>
        <w:rPr>
          <w:rFonts w:hint="eastAsia" w:ascii="宋体" w:hAnsi="宋体"/>
          <w:color w:val="auto"/>
          <w:szCs w:val="21"/>
        </w:rPr>
        <w:t>；参加采购</w:t>
      </w:r>
      <w:r>
        <w:rPr>
          <w:rFonts w:hint="eastAsia" w:ascii="宋体" w:hAnsi="宋体"/>
          <w:color w:val="auto"/>
          <w:szCs w:val="21"/>
          <w:lang w:eastAsia="zh-CN"/>
        </w:rPr>
        <w:t>调研</w:t>
      </w:r>
      <w:r>
        <w:rPr>
          <w:rFonts w:hint="eastAsia" w:ascii="宋体" w:hAnsi="宋体"/>
          <w:color w:val="auto"/>
          <w:szCs w:val="21"/>
        </w:rPr>
        <w:t>活动前3年内在经营活动中没有重大违法记录的书面声明。</w:t>
      </w:r>
    </w:p>
    <w:p w14:paraId="04ADF29D">
      <w:pPr>
        <w:pStyle w:val="14"/>
        <w:adjustRightInd w:val="0"/>
        <w:spacing w:before="160" w:after="160"/>
        <w:contextualSpacing/>
        <w:rPr>
          <w:rFonts w:ascii="宋体" w:hAnsi="宋体" w:eastAsia="宋体"/>
          <w:color w:val="auto"/>
          <w:sz w:val="28"/>
          <w:szCs w:val="28"/>
        </w:rPr>
      </w:pPr>
      <w:r>
        <w:rPr>
          <w:rFonts w:hint="eastAsia" w:ascii="宋体" w:hAnsi="宋体"/>
          <w:color w:val="auto"/>
          <w:szCs w:val="21"/>
        </w:rPr>
        <w:t>8.不存在以下情形书面声明：单位负责人/法人为同一人或者存在直接控股、管理关系的不同供应商参与同一项目的调研。</w:t>
      </w:r>
    </w:p>
    <w:p w14:paraId="498AAA7F">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9.业绩：提供近三年与本次所投产品同品牌的（以</w:t>
      </w:r>
      <w:r>
        <w:rPr>
          <w:rFonts w:hint="eastAsia" w:ascii="宋体" w:hAnsi="宋体" w:eastAsia="宋体"/>
          <w:color w:val="auto"/>
          <w:szCs w:val="21"/>
          <w:lang w:eastAsia="zh-CN"/>
        </w:rPr>
        <w:t>二</w:t>
      </w:r>
      <w:r>
        <w:rPr>
          <w:rFonts w:hint="eastAsia" w:ascii="宋体" w:hAnsi="宋体" w:eastAsia="宋体"/>
          <w:color w:val="auto"/>
          <w:szCs w:val="21"/>
        </w:rPr>
        <w:t>级</w:t>
      </w:r>
      <w:r>
        <w:rPr>
          <w:rFonts w:hint="eastAsia" w:ascii="宋体" w:hAnsi="宋体" w:eastAsia="宋体"/>
          <w:color w:val="auto"/>
          <w:szCs w:val="21"/>
          <w:lang w:eastAsia="zh-CN"/>
        </w:rPr>
        <w:t>甲等及以上</w:t>
      </w:r>
      <w:r>
        <w:rPr>
          <w:rFonts w:hint="eastAsia" w:ascii="宋体" w:hAnsi="宋体" w:eastAsia="宋体"/>
          <w:color w:val="auto"/>
          <w:szCs w:val="21"/>
        </w:rPr>
        <w:t>医院）中标通知书或合同(含供货价格)及相应配置（如我院两年内采购过，提供我院采购合同和相应配置），</w:t>
      </w:r>
      <w:r>
        <w:rPr>
          <w:rFonts w:hint="eastAsia" w:ascii="宋体" w:hAnsi="宋体" w:eastAsia="宋体"/>
          <w:color w:val="auto"/>
          <w:szCs w:val="21"/>
          <w:lang w:eastAsia="zh-CN"/>
        </w:rPr>
        <w:t>二级甲等及以上</w:t>
      </w:r>
      <w:r>
        <w:rPr>
          <w:rFonts w:hint="eastAsia" w:ascii="宋体" w:hAnsi="宋体" w:eastAsia="宋体"/>
          <w:color w:val="auto"/>
          <w:szCs w:val="21"/>
        </w:rPr>
        <w:t>级医院用户名单、采购时间、联系人、联系方式。</w:t>
      </w:r>
    </w:p>
    <w:p w14:paraId="3D583F1D">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10.宣传彩页（纸质版需要提供印刷版，打印和复印版无效；pdf版需扫描彩页）。</w:t>
      </w:r>
    </w:p>
    <w:p w14:paraId="2F536D50">
      <w:pPr>
        <w:pStyle w:val="14"/>
        <w:adjustRightInd w:val="0"/>
        <w:spacing w:before="160" w:after="160"/>
        <w:contextualSpacing/>
        <w:rPr>
          <w:rFonts w:ascii="宋体" w:hAnsi="宋体" w:eastAsia="宋体"/>
          <w:color w:val="auto"/>
          <w:szCs w:val="21"/>
        </w:rPr>
      </w:pPr>
    </w:p>
    <w:p w14:paraId="5FB3ACFB">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调研时间：报名材料预审合格后另行通知，预审不合格不予通知。</w:t>
      </w:r>
    </w:p>
    <w:p w14:paraId="6F593BA2">
      <w:pPr>
        <w:pStyle w:val="14"/>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调研地点：仪征医院</w:t>
      </w:r>
      <w:r>
        <w:rPr>
          <w:rFonts w:hint="eastAsia" w:ascii="宋体" w:hAnsi="宋体" w:eastAsia="宋体"/>
          <w:color w:val="auto"/>
          <w:szCs w:val="21"/>
          <w:lang w:eastAsia="zh-CN"/>
        </w:rPr>
        <w:t>物资采购部三</w:t>
      </w:r>
      <w:r>
        <w:rPr>
          <w:rFonts w:hint="eastAsia" w:ascii="宋体" w:hAnsi="宋体" w:eastAsia="宋体"/>
          <w:color w:val="auto"/>
          <w:szCs w:val="21"/>
        </w:rPr>
        <w:t>楼。</w:t>
      </w:r>
    </w:p>
    <w:p w14:paraId="7B9601EF">
      <w:pPr>
        <w:pStyle w:val="14"/>
        <w:adjustRightInd w:val="0"/>
        <w:spacing w:before="160" w:after="160"/>
        <w:contextualSpacing/>
        <w:rPr>
          <w:rFonts w:hint="default" w:ascii="宋体" w:hAnsi="宋体" w:eastAsia="宋体"/>
          <w:color w:val="auto"/>
          <w:szCs w:val="21"/>
          <w:lang w:val="en-US" w:eastAsia="zh-CN"/>
        </w:rPr>
      </w:pPr>
      <w:r>
        <w:rPr>
          <w:rFonts w:hint="eastAsia" w:ascii="宋体" w:hAnsi="宋体" w:eastAsia="宋体"/>
          <w:color w:val="auto"/>
          <w:szCs w:val="21"/>
        </w:rPr>
        <w:t>联系人：</w:t>
      </w:r>
      <w:r>
        <w:rPr>
          <w:rFonts w:hint="eastAsia" w:ascii="宋体" w:hAnsi="宋体" w:eastAsia="宋体"/>
          <w:color w:val="auto"/>
          <w:szCs w:val="21"/>
          <w:lang w:eastAsia="zh-CN"/>
        </w:rPr>
        <w:t>陆国富</w:t>
      </w:r>
      <w:r>
        <w:rPr>
          <w:rFonts w:hint="eastAsia" w:ascii="宋体" w:hAnsi="宋体" w:eastAsia="宋体"/>
          <w:color w:val="auto"/>
          <w:szCs w:val="21"/>
        </w:rPr>
        <w:t xml:space="preserve">   邮箱：</w:t>
      </w:r>
      <w:r>
        <w:rPr>
          <w:color w:val="auto"/>
        </w:rPr>
        <w:fldChar w:fldCharType="begin"/>
      </w:r>
      <w:r>
        <w:rPr>
          <w:color w:val="auto"/>
        </w:rPr>
        <w:instrText xml:space="preserve"> HYPERLINK "mailto:13852516125@163.com" </w:instrText>
      </w:r>
      <w:r>
        <w:rPr>
          <w:color w:val="auto"/>
        </w:rPr>
        <w:fldChar w:fldCharType="separate"/>
      </w:r>
      <w:r>
        <w:rPr>
          <w:rFonts w:hint="eastAsia"/>
          <w:color w:val="auto"/>
          <w:lang w:val="en-US" w:eastAsia="zh-CN"/>
        </w:rPr>
        <w:t>YZHCGB83211533</w:t>
      </w:r>
      <w:r>
        <w:rPr>
          <w:rStyle w:val="13"/>
          <w:rFonts w:hint="eastAsia" w:ascii="宋体" w:hAnsi="宋体" w:eastAsia="宋体"/>
          <w:color w:val="auto"/>
          <w:szCs w:val="21"/>
        </w:rPr>
        <w:t>@163.com</w:t>
      </w:r>
      <w:r>
        <w:rPr>
          <w:rStyle w:val="13"/>
          <w:rFonts w:hint="eastAsia" w:ascii="宋体" w:hAnsi="宋体" w:eastAsia="宋体"/>
          <w:color w:val="auto"/>
          <w:szCs w:val="21"/>
        </w:rPr>
        <w:fldChar w:fldCharType="end"/>
      </w:r>
      <w:r>
        <w:rPr>
          <w:rFonts w:hint="eastAsia" w:ascii="宋体" w:hAnsi="宋体" w:eastAsia="宋体"/>
          <w:color w:val="auto"/>
          <w:szCs w:val="21"/>
        </w:rPr>
        <w:t xml:space="preserve">    电话：0514-83</w:t>
      </w:r>
      <w:r>
        <w:rPr>
          <w:rFonts w:hint="eastAsia" w:ascii="宋体" w:hAnsi="宋体" w:eastAsia="宋体"/>
          <w:color w:val="auto"/>
          <w:szCs w:val="21"/>
          <w:lang w:val="en-US" w:eastAsia="zh-CN"/>
        </w:rPr>
        <w:t>211533</w:t>
      </w:r>
    </w:p>
    <w:p w14:paraId="21463905">
      <w:pPr>
        <w:pStyle w:val="14"/>
        <w:adjustRightInd w:val="0"/>
        <w:spacing w:before="160" w:after="160"/>
        <w:contextualSpacing/>
        <w:rPr>
          <w:color w:val="auto"/>
        </w:rPr>
      </w:pPr>
      <w:r>
        <w:rPr>
          <w:rFonts w:hint="eastAsia" w:ascii="宋体" w:hAnsi="宋体" w:eastAsia="宋体"/>
          <w:color w:val="auto"/>
          <w:szCs w:val="21"/>
        </w:rPr>
        <w:t>地址：仪征市</w:t>
      </w:r>
      <w:r>
        <w:rPr>
          <w:rFonts w:hint="eastAsia" w:ascii="宋体" w:hAnsi="宋体" w:eastAsia="宋体"/>
          <w:color w:val="auto"/>
          <w:szCs w:val="21"/>
          <w:lang w:eastAsia="zh-CN"/>
        </w:rPr>
        <w:t>化纤生活区环南路</w:t>
      </w:r>
      <w:r>
        <w:rPr>
          <w:rFonts w:hint="eastAsia" w:ascii="宋体" w:hAnsi="宋体" w:eastAsia="宋体"/>
          <w:color w:val="auto"/>
          <w:szCs w:val="21"/>
          <w:lang w:val="en-US" w:eastAsia="zh-CN"/>
        </w:rPr>
        <w:t>1</w:t>
      </w:r>
      <w:r>
        <w:rPr>
          <w:rFonts w:hint="eastAsia" w:ascii="宋体" w:hAnsi="宋体" w:eastAsia="宋体"/>
          <w:color w:val="auto"/>
          <w:szCs w:val="21"/>
        </w:rPr>
        <w:t>号，仪征医院</w:t>
      </w:r>
      <w:r>
        <w:rPr>
          <w:rFonts w:hint="eastAsia" w:ascii="宋体" w:hAnsi="宋体" w:eastAsia="宋体"/>
          <w:color w:val="auto"/>
          <w:szCs w:val="21"/>
          <w:lang w:eastAsia="zh-CN"/>
        </w:rPr>
        <w:t>物资采购部三楼</w:t>
      </w:r>
    </w:p>
    <w:p w14:paraId="3F6FA007">
      <w:pPr>
        <w:pStyle w:val="14"/>
        <w:adjustRightInd w:val="0"/>
        <w:spacing w:before="160" w:after="160"/>
        <w:contextualSpacing/>
        <w:rPr>
          <w:rFonts w:ascii="宋体" w:hAnsi="宋体" w:eastAsia="宋体"/>
          <w:szCs w:val="21"/>
        </w:rPr>
      </w:pPr>
    </w:p>
    <w:p w14:paraId="5BC6AB73">
      <w:pPr>
        <w:pStyle w:val="14"/>
        <w:adjustRightInd w:val="0"/>
        <w:spacing w:before="160" w:after="160"/>
        <w:ind w:left="420" w:firstLine="0" w:firstLineChars="0"/>
        <w:contextualSpacing/>
        <w:rPr>
          <w:rFonts w:ascii="宋体" w:hAnsi="宋体" w:eastAsia="宋体"/>
          <w:b/>
          <w:bCs/>
          <w:color w:val="auto"/>
          <w:sz w:val="30"/>
          <w:szCs w:val="30"/>
        </w:rPr>
      </w:pPr>
      <w:r>
        <w:rPr>
          <w:rFonts w:hint="eastAsia" w:ascii="宋体" w:hAnsi="宋体" w:eastAsia="宋体"/>
          <w:b/>
          <w:bCs/>
          <w:color w:val="auto"/>
          <w:sz w:val="30"/>
          <w:szCs w:val="30"/>
        </w:rPr>
        <w:t>注意：</w:t>
      </w:r>
      <w:r>
        <w:rPr>
          <w:rFonts w:ascii="宋体" w:hAnsi="宋体" w:eastAsia="宋体"/>
          <w:b/>
          <w:bCs/>
          <w:color w:val="auto"/>
          <w:sz w:val="30"/>
          <w:szCs w:val="30"/>
        </w:rPr>
        <w:t xml:space="preserve"> </w:t>
      </w:r>
    </w:p>
    <w:p w14:paraId="795920A6">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1.以上所有资料均需加盖公章，扫描为一个PDF文件，以具体包号项目名称+公司名称命名，发送至上述联系人邮箱预审，逾期不予受理。</w:t>
      </w:r>
    </w:p>
    <w:p w14:paraId="31B778CA">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2.同时提供技术参数或针对项目需求的方案Word版，以具体包号项目名称+公司名称命名,发送至上述联系人邮箱。</w:t>
      </w:r>
    </w:p>
    <w:p w14:paraId="5B41883E">
      <w:pPr>
        <w:adjustRightInd w:val="0"/>
        <w:spacing w:before="160" w:after="160"/>
        <w:contextualSpacing/>
        <w:rPr>
          <w:rFonts w:ascii="仿宋_GB2312" w:hAnsi="仿宋_GB2312" w:eastAsia="仿宋_GB2312" w:cs="仿宋_GB2312"/>
          <w:b/>
          <w:bCs/>
          <w:iCs/>
          <w:color w:val="auto"/>
          <w:sz w:val="32"/>
          <w:szCs w:val="32"/>
        </w:rPr>
      </w:pPr>
      <w:r>
        <w:rPr>
          <w:rFonts w:hint="eastAsia" w:ascii="仿宋_GB2312" w:hAnsi="仿宋_GB2312" w:eastAsia="仿宋_GB2312" w:cs="仿宋_GB2312"/>
          <w:b/>
          <w:bCs/>
          <w:iCs/>
          <w:color w:val="auto"/>
          <w:sz w:val="32"/>
          <w:szCs w:val="32"/>
        </w:rPr>
        <w:t>3.现场调研时报名单位须由法人代表或报名材料中明确的被授权人（未经允许不得擅自更换被授权人）携密封加盖公章的报名文件（正本壹份，副本肆份）参加（携身份证原件备查）。</w:t>
      </w:r>
    </w:p>
    <w:p w14:paraId="0A675E5B">
      <w:pPr>
        <w:pStyle w:val="9"/>
        <w:ind w:left="0" w:leftChars="0" w:firstLine="0" w:firstLineChars="0"/>
        <w:rPr>
          <w:rFonts w:hint="eastAsia"/>
          <w:b/>
          <w:bCs/>
          <w:color w:val="auto"/>
          <w:sz w:val="24"/>
          <w:szCs w:val="24"/>
          <w:lang w:eastAsia="zh-CN"/>
        </w:rPr>
      </w:pPr>
    </w:p>
    <w:p w14:paraId="6579A920">
      <w:pPr>
        <w:rPr>
          <w:rFonts w:hint="eastAsia" w:eastAsia="宋体"/>
          <w:b/>
          <w:bCs/>
          <w:sz w:val="24"/>
          <w:szCs w:val="24"/>
          <w:lang w:val="en-US" w:eastAsia="zh-CN"/>
        </w:rPr>
      </w:pPr>
      <w:r>
        <w:rPr>
          <w:rFonts w:hint="eastAsia"/>
          <w:b/>
          <w:bCs/>
          <w:sz w:val="24"/>
          <w:szCs w:val="24"/>
          <w:lang w:val="en-US" w:eastAsia="zh-CN"/>
        </w:rPr>
        <w:t>麻醉监护仪功能要求及配置</w:t>
      </w:r>
    </w:p>
    <w:p w14:paraId="44258983">
      <w:pPr>
        <w:rPr>
          <w:b/>
          <w:bCs/>
          <w:lang w:val="en-US" w:eastAsia="uk-UA"/>
        </w:rPr>
      </w:pPr>
    </w:p>
    <w:p w14:paraId="2CBE7BC1">
      <w:pPr>
        <w:rPr>
          <w:lang w:val="en-US" w:eastAsia="uk-UA"/>
        </w:rPr>
      </w:pPr>
      <w:r>
        <w:rPr>
          <w:lang w:val="en-US" w:eastAsia="uk-UA"/>
        </w:rPr>
        <w:t>1主机功能：</w:t>
      </w:r>
    </w:p>
    <w:p w14:paraId="52B364BD">
      <w:pPr>
        <w:rPr>
          <w:lang w:val="en-US" w:eastAsia="uk-UA"/>
        </w:rPr>
      </w:pPr>
      <w:r>
        <w:rPr>
          <w:lang w:val="en-US" w:eastAsia="uk-UA"/>
        </w:rPr>
        <w:t>1.1产品具备国家三类医疗器械注册证。</w:t>
      </w:r>
    </w:p>
    <w:p w14:paraId="6C5B38C4">
      <w:pPr>
        <w:rPr>
          <w:lang w:val="en-US" w:eastAsia="uk-UA"/>
        </w:rPr>
      </w:pPr>
      <w:r>
        <w:rPr>
          <w:lang w:val="en-US" w:eastAsia="uk-UA"/>
        </w:rPr>
        <w:t>1.2模块化插件式监护仪，主机≥6个插件槽，可外接8槽位辅助插件箱。</w:t>
      </w:r>
    </w:p>
    <w:p w14:paraId="48280503">
      <w:pPr>
        <w:rPr>
          <w:lang w:val="en-US" w:eastAsia="uk-UA"/>
        </w:rPr>
      </w:pPr>
      <w:r>
        <w:rPr>
          <w:lang w:val="en-US" w:eastAsia="uk-UA"/>
        </w:rPr>
        <w:t>1.3主机≥1</w:t>
      </w:r>
      <w:r>
        <w:rPr>
          <w:rFonts w:hint="eastAsia"/>
          <w:lang w:val="en-US" w:eastAsia="zh-CN"/>
        </w:rPr>
        <w:t>2</w:t>
      </w:r>
      <w:r>
        <w:rPr>
          <w:lang w:val="en-US" w:eastAsia="uk-UA"/>
        </w:rPr>
        <w:t>英寸彩色电容触摸屏，高分辨率≥1920*1080，≥11通道显示，屏幕亮度自动调节。</w:t>
      </w:r>
    </w:p>
    <w:p w14:paraId="30A5C7A2">
      <w:pPr>
        <w:rPr>
          <w:lang w:val="en-US" w:eastAsia="uk-UA"/>
        </w:rPr>
      </w:pPr>
      <w:r>
        <w:rPr>
          <w:lang w:val="en-US" w:eastAsia="uk-UA"/>
        </w:rPr>
        <w:t>1.4转运监护仪液晶显示屏≥5英寸，能单独监护转运病人使用，锂电池供电≥4小时</w:t>
      </w:r>
      <w:r>
        <w:rPr>
          <w:rFonts w:hint="eastAsia"/>
          <w:lang w:val="en-US" w:eastAsia="zh-CN"/>
        </w:rPr>
        <w:t>（可选配）</w:t>
      </w:r>
      <w:r>
        <w:rPr>
          <w:lang w:val="en-US" w:eastAsia="uk-UA"/>
        </w:rPr>
        <w:t>。</w:t>
      </w:r>
    </w:p>
    <w:p w14:paraId="4CA14384">
      <w:pPr>
        <w:rPr>
          <w:lang w:val="en-US" w:eastAsia="uk-UA"/>
        </w:rPr>
      </w:pPr>
      <w:r>
        <w:rPr>
          <w:lang w:val="en-US" w:eastAsia="uk-UA"/>
        </w:rPr>
        <w:t>1.5产品使用年限≥10年。（提供设备铭牌标签）</w:t>
      </w:r>
    </w:p>
    <w:p w14:paraId="1148A7B4">
      <w:pPr>
        <w:rPr>
          <w:lang w:val="en-US" w:eastAsia="uk-UA"/>
        </w:rPr>
      </w:pPr>
      <w:r>
        <w:rPr>
          <w:lang w:val="en-US" w:eastAsia="uk-UA"/>
        </w:rPr>
        <w:t>2监测参数：</w:t>
      </w:r>
    </w:p>
    <w:p w14:paraId="295297EE">
      <w:pPr>
        <w:rPr>
          <w:lang w:val="en-US" w:eastAsia="uk-UA"/>
        </w:rPr>
      </w:pPr>
      <w:r>
        <w:rPr>
          <w:lang w:val="en-US" w:eastAsia="uk-UA"/>
        </w:rPr>
        <w:t>2.1转运模块标配；心电、呼吸、无创血压、血氧、体温、双有创血压。</w:t>
      </w:r>
    </w:p>
    <w:p w14:paraId="4759B4C7">
      <w:pPr>
        <w:rPr>
          <w:lang w:val="en-US" w:eastAsia="uk-UA"/>
        </w:rPr>
      </w:pPr>
      <w:r>
        <w:rPr>
          <w:lang w:val="en-US" w:eastAsia="uk-UA"/>
        </w:rPr>
        <w:t>2.2心率测量范围：成人：10bpm～300bpm；儿童和新生儿：10bpm～350bpm。</w:t>
      </w:r>
    </w:p>
    <w:p w14:paraId="2CB45FD8">
      <w:pPr>
        <w:rPr>
          <w:lang w:val="en-US" w:eastAsia="uk-UA"/>
        </w:rPr>
      </w:pPr>
      <w:r>
        <w:rPr>
          <w:lang w:val="en-US" w:eastAsia="uk-UA"/>
        </w:rPr>
        <w:t>2.3ST段分析具有STGraphic界面与STView界面，同屏12导ST段波形片段实时显示。</w:t>
      </w:r>
    </w:p>
    <w:p w14:paraId="463F2726">
      <w:pPr>
        <w:rPr>
          <w:lang w:val="en-US" w:eastAsia="uk-UA"/>
        </w:rPr>
      </w:pPr>
      <w:r>
        <w:rPr>
          <w:lang w:val="en-US" w:eastAsia="uk-UA"/>
        </w:rPr>
        <w:t>2.4提供≥26种心律失常分析（含房颤）。</w:t>
      </w:r>
    </w:p>
    <w:p w14:paraId="2636C689">
      <w:pPr>
        <w:rPr>
          <w:lang w:val="en-US" w:eastAsia="uk-UA"/>
        </w:rPr>
      </w:pPr>
      <w:r>
        <w:rPr>
          <w:lang w:val="en-US" w:eastAsia="uk-UA"/>
        </w:rPr>
        <w:t>2.5提供手动、自动、连续、序列和整点5种测量模式，具有24小时血压统计结果。（提供界面截图）</w:t>
      </w:r>
    </w:p>
    <w:p w14:paraId="5A6FEA12">
      <w:pPr>
        <w:rPr>
          <w:lang w:val="en-US" w:eastAsia="uk-UA"/>
        </w:rPr>
      </w:pPr>
      <w:r>
        <w:rPr>
          <w:lang w:val="en-US" w:eastAsia="uk-UA"/>
        </w:rPr>
        <w:t>2.6可监测灌注指数PI，能有效反应末梢循环的功能状态。</w:t>
      </w:r>
    </w:p>
    <w:p w14:paraId="2F875611">
      <w:pPr>
        <w:rPr>
          <w:lang w:val="en-US" w:eastAsia="uk-UA"/>
        </w:rPr>
      </w:pPr>
      <w:r>
        <w:rPr>
          <w:lang w:val="en-US" w:eastAsia="uk-UA"/>
        </w:rPr>
        <w:t>2.7有创血压可最多实现8通道监测，支持CVP/ICP/PPV/PAWP等测量，可实现PPV测量。2.8呼气末二氧化碳模块，主流、旁流呼采用同一个模块，连接不同附件即可实现EtCO2、FiCO2、气道呼吸率（awRR）及呼吸波形的监测。</w:t>
      </w:r>
    </w:p>
    <w:p w14:paraId="05D0F00C">
      <w:pPr>
        <w:rPr>
          <w:lang w:val="en-US" w:eastAsia="uk-UA"/>
        </w:rPr>
      </w:pPr>
      <w:r>
        <w:rPr>
          <w:lang w:val="en-US" w:eastAsia="uk-UA"/>
        </w:rPr>
        <w:t>2.9通过血氧探头监测灌注变异指数（PVI）、指导临床输液。（提供第三方检测报告证明文件）</w:t>
      </w:r>
    </w:p>
    <w:p w14:paraId="071E9A3F">
      <w:pPr>
        <w:rPr>
          <w:lang w:val="en-US" w:eastAsia="uk-UA"/>
        </w:rPr>
      </w:pPr>
      <w:r>
        <w:rPr>
          <w:lang w:val="en-US" w:eastAsia="uk-UA"/>
        </w:rPr>
        <w:t>3系统功能：</w:t>
      </w:r>
    </w:p>
    <w:p w14:paraId="5F7B7020">
      <w:pPr>
        <w:rPr>
          <w:lang w:val="en-US" w:eastAsia="uk-UA"/>
        </w:rPr>
      </w:pPr>
      <w:r>
        <w:rPr>
          <w:lang w:val="en-US" w:eastAsia="uk-UA"/>
        </w:rPr>
        <w:t>3.1具备语音助手功能，实现术中“血压测量”“波形冻结”“报警暂停”等功能可通过语音操控。3.2趋势图可存储：至少180小时。</w:t>
      </w:r>
    </w:p>
    <w:p w14:paraId="70631925">
      <w:pPr>
        <w:rPr>
          <w:lang w:val="en-US" w:eastAsia="uk-UA"/>
        </w:rPr>
      </w:pPr>
      <w:r>
        <w:rPr>
          <w:lang w:val="en-US" w:eastAsia="uk-UA"/>
        </w:rPr>
        <w:t>3.3至少2400个参数报警事件，以及事件发生时刻相关的参数波形。</w:t>
      </w:r>
    </w:p>
    <w:p w14:paraId="45AFB474">
      <w:pPr>
        <w:rPr>
          <w:lang w:val="en-US" w:eastAsia="uk-UA"/>
        </w:rPr>
      </w:pPr>
      <w:r>
        <w:rPr>
          <w:lang w:val="en-US" w:eastAsia="uk-UA"/>
        </w:rPr>
        <w:t>3.4至少2000组NIBP数据存储及回顾。</w:t>
      </w:r>
    </w:p>
    <w:p w14:paraId="6FED10BE">
      <w:pPr>
        <w:rPr>
          <w:lang w:val="en-US" w:eastAsia="uk-UA"/>
        </w:rPr>
      </w:pPr>
      <w:r>
        <w:rPr>
          <w:lang w:val="en-US" w:eastAsia="uk-UA"/>
        </w:rPr>
        <w:t>3.5至少72小时全息波形存储及回顾。</w:t>
      </w:r>
    </w:p>
    <w:p w14:paraId="7F88E7E2">
      <w:pPr>
        <w:rPr>
          <w:lang w:val="en-US" w:eastAsia="uk-UA"/>
        </w:rPr>
      </w:pPr>
      <w:r>
        <w:rPr>
          <w:rFonts w:hint="eastAsia"/>
          <w:lang w:val="en-US" w:eastAsia="zh-CN"/>
        </w:rPr>
        <w:t xml:space="preserve">4 </w:t>
      </w:r>
      <w:r>
        <w:rPr>
          <w:lang w:val="en-US" w:eastAsia="uk-UA"/>
        </w:rPr>
        <w:t>配置要求</w:t>
      </w:r>
      <w:r>
        <w:rPr>
          <w:rFonts w:hint="eastAsia"/>
          <w:lang w:val="en-US" w:eastAsia="zh-CN"/>
        </w:rPr>
        <w:t>：</w:t>
      </w:r>
      <w:r>
        <w:rPr>
          <w:lang w:val="en-US" w:eastAsia="uk-UA"/>
        </w:rPr>
        <w:t>（提供投标配置清单）</w:t>
      </w:r>
    </w:p>
    <w:p w14:paraId="21B33719">
      <w:pPr>
        <w:rPr>
          <w:lang w:val="en-US" w:eastAsia="uk-UA"/>
        </w:rPr>
      </w:pPr>
      <w:r>
        <w:rPr>
          <w:rFonts w:hint="eastAsia"/>
          <w:lang w:val="en-US" w:eastAsia="zh-CN"/>
        </w:rPr>
        <w:t>4</w:t>
      </w:r>
      <w:r>
        <w:rPr>
          <w:lang w:val="en-US" w:eastAsia="uk-UA"/>
        </w:rPr>
        <w:t>.1单台麻醉监护仪配置要求</w:t>
      </w:r>
    </w:p>
    <w:p w14:paraId="7548F823">
      <w:pPr>
        <w:rPr>
          <w:lang w:val="en-US" w:eastAsia="uk-UA"/>
        </w:rPr>
      </w:pPr>
      <w:r>
        <w:rPr>
          <w:lang w:val="en-US" w:eastAsia="uk-UA"/>
        </w:rPr>
        <w:t>1</w:t>
      </w:r>
      <w:r>
        <w:rPr>
          <w:rFonts w:hint="eastAsia"/>
          <w:lang w:val="en-US" w:eastAsia="zh-CN"/>
        </w:rPr>
        <w:t>、</w:t>
      </w:r>
      <w:r>
        <w:rPr>
          <w:lang w:val="en-US" w:eastAsia="uk-UA"/>
        </w:rPr>
        <w:t>监护仪主机1台</w:t>
      </w:r>
    </w:p>
    <w:p w14:paraId="6F290629">
      <w:pPr>
        <w:rPr>
          <w:rFonts w:hint="eastAsia" w:eastAsiaTheme="minorEastAsia"/>
          <w:lang w:val="en-US" w:eastAsia="zh-CN"/>
        </w:rPr>
      </w:pPr>
      <w:r>
        <w:rPr>
          <w:lang w:val="en-US" w:eastAsia="uk-UA"/>
        </w:rPr>
        <w:t>2</w:t>
      </w:r>
      <w:r>
        <w:rPr>
          <w:rFonts w:hint="eastAsia"/>
          <w:lang w:val="en-US" w:eastAsia="zh-CN"/>
        </w:rPr>
        <w:t>、</w:t>
      </w:r>
      <w:r>
        <w:rPr>
          <w:lang w:val="en-US" w:eastAsia="uk-UA"/>
        </w:rPr>
        <w:t>转运监护仪（含锂电池）1台</w:t>
      </w:r>
      <w:r>
        <w:rPr>
          <w:rFonts w:hint="eastAsia"/>
          <w:lang w:val="en-US" w:eastAsia="zh-CN"/>
        </w:rPr>
        <w:t>（可选配）</w:t>
      </w:r>
    </w:p>
    <w:p w14:paraId="2333CB32">
      <w:pPr>
        <w:rPr>
          <w:lang w:val="en-US" w:eastAsia="uk-UA"/>
        </w:rPr>
      </w:pPr>
      <w:r>
        <w:rPr>
          <w:lang w:val="en-US" w:eastAsia="uk-UA"/>
        </w:rPr>
        <w:t>3</w:t>
      </w:r>
      <w:r>
        <w:rPr>
          <w:rFonts w:hint="eastAsia"/>
          <w:lang w:val="en-US" w:eastAsia="zh-CN"/>
        </w:rPr>
        <w:t>、</w:t>
      </w:r>
      <w:r>
        <w:rPr>
          <w:lang w:val="en-US" w:eastAsia="uk-UA"/>
        </w:rPr>
        <w:t>5导心电电缆及导联线1套</w:t>
      </w:r>
    </w:p>
    <w:p w14:paraId="06E9ABA2">
      <w:pPr>
        <w:rPr>
          <w:lang w:val="en-US" w:eastAsia="uk-UA"/>
        </w:rPr>
      </w:pPr>
      <w:r>
        <w:rPr>
          <w:lang w:val="en-US" w:eastAsia="uk-UA"/>
        </w:rPr>
        <w:t>4</w:t>
      </w:r>
      <w:r>
        <w:rPr>
          <w:rFonts w:hint="eastAsia"/>
          <w:lang w:val="en-US" w:eastAsia="zh-CN"/>
        </w:rPr>
        <w:t>、</w:t>
      </w:r>
      <w:r>
        <w:rPr>
          <w:lang w:val="en-US" w:eastAsia="uk-UA"/>
        </w:rPr>
        <w:t>心电电极片（10片/包）1包</w:t>
      </w:r>
    </w:p>
    <w:p w14:paraId="7266E34E">
      <w:pPr>
        <w:rPr>
          <w:lang w:val="en-US" w:eastAsia="uk-UA"/>
        </w:rPr>
      </w:pPr>
      <w:r>
        <w:rPr>
          <w:lang w:val="en-US" w:eastAsia="uk-UA"/>
        </w:rPr>
        <w:t>5</w:t>
      </w:r>
      <w:r>
        <w:rPr>
          <w:rFonts w:hint="eastAsia"/>
          <w:lang w:val="en-US" w:eastAsia="zh-CN"/>
        </w:rPr>
        <w:t>、</w:t>
      </w:r>
      <w:r>
        <w:rPr>
          <w:lang w:val="en-US" w:eastAsia="uk-UA"/>
        </w:rPr>
        <w:t>血氧饱和度探头1套</w:t>
      </w:r>
    </w:p>
    <w:p w14:paraId="6656FF00">
      <w:pPr>
        <w:rPr>
          <w:lang w:val="en-US" w:eastAsia="uk-UA"/>
        </w:rPr>
      </w:pPr>
      <w:r>
        <w:rPr>
          <w:lang w:val="en-US" w:eastAsia="uk-UA"/>
        </w:rPr>
        <w:t>6</w:t>
      </w:r>
      <w:r>
        <w:rPr>
          <w:rFonts w:hint="eastAsia"/>
          <w:lang w:val="en-US" w:eastAsia="zh-CN"/>
        </w:rPr>
        <w:t>、</w:t>
      </w:r>
      <w:r>
        <w:rPr>
          <w:lang w:val="en-US" w:eastAsia="uk-UA"/>
        </w:rPr>
        <w:t>PVC气管及无创血压袖带1套</w:t>
      </w:r>
    </w:p>
    <w:p w14:paraId="1469AAEC">
      <w:pPr>
        <w:rPr>
          <w:lang w:val="en-US" w:eastAsia="uk-UA"/>
        </w:rPr>
      </w:pPr>
      <w:r>
        <w:rPr>
          <w:lang w:val="en-US" w:eastAsia="uk-UA"/>
        </w:rPr>
        <w:t>7</w:t>
      </w:r>
      <w:r>
        <w:rPr>
          <w:rFonts w:hint="eastAsia"/>
          <w:lang w:val="en-US" w:eastAsia="zh-CN"/>
        </w:rPr>
        <w:t>、</w:t>
      </w:r>
      <w:r>
        <w:rPr>
          <w:lang w:val="en-US" w:eastAsia="uk-UA"/>
        </w:rPr>
        <w:t>有创血压电缆及延长线2套</w:t>
      </w:r>
    </w:p>
    <w:p w14:paraId="01911A67">
      <w:pPr>
        <w:rPr>
          <w:lang w:val="en-US" w:eastAsia="uk-UA"/>
        </w:rPr>
      </w:pPr>
      <w:r>
        <w:rPr>
          <w:rFonts w:hint="eastAsia"/>
          <w:lang w:val="en-US" w:eastAsia="zh-CN"/>
        </w:rPr>
        <w:t>8、</w:t>
      </w:r>
      <w:r>
        <w:rPr>
          <w:lang w:val="en-US" w:eastAsia="uk-UA"/>
        </w:rPr>
        <w:t>呼气末二氧化碳模块1套</w:t>
      </w:r>
    </w:p>
    <w:p w14:paraId="26368E3E">
      <w:pPr>
        <w:rPr>
          <w:lang w:val="en-US" w:eastAsia="uk-UA"/>
        </w:rPr>
      </w:pPr>
      <w:r>
        <w:rPr>
          <w:rFonts w:hint="eastAsia"/>
          <w:lang w:val="en-US" w:eastAsia="zh-CN"/>
        </w:rPr>
        <w:t>9、</w:t>
      </w:r>
      <w:r>
        <w:rPr>
          <w:lang w:val="en-US" w:eastAsia="uk-UA"/>
        </w:rPr>
        <w:t>呼气末二氧化碳主流适配器及延长线1套</w:t>
      </w:r>
    </w:p>
    <w:p w14:paraId="10F5D535">
      <w:pPr>
        <w:rPr>
          <w:lang w:val="en-US" w:eastAsia="uk-UA"/>
        </w:rPr>
      </w:pPr>
      <w:r>
        <w:rPr>
          <w:lang w:val="en-US" w:eastAsia="uk-UA"/>
        </w:rPr>
        <w:t>1</w:t>
      </w:r>
      <w:r>
        <w:rPr>
          <w:rFonts w:hint="eastAsia"/>
          <w:lang w:val="en-US" w:eastAsia="zh-CN"/>
        </w:rPr>
        <w:t>0、</w:t>
      </w:r>
      <w:r>
        <w:rPr>
          <w:lang w:val="en-US" w:eastAsia="uk-UA"/>
        </w:rPr>
        <w:t>呼气末二氧化碳旁流附件1套</w:t>
      </w:r>
    </w:p>
    <w:p w14:paraId="5103191D">
      <w:pPr>
        <w:rPr>
          <w:lang w:val="en-US" w:eastAsia="uk-UA"/>
        </w:rPr>
      </w:pPr>
      <w:r>
        <w:rPr>
          <w:lang w:val="en-US" w:eastAsia="uk-UA"/>
        </w:rPr>
        <w:t>1</w:t>
      </w:r>
      <w:r>
        <w:rPr>
          <w:rFonts w:hint="eastAsia"/>
          <w:lang w:val="en-US" w:eastAsia="zh-CN"/>
        </w:rPr>
        <w:t>1、</w:t>
      </w:r>
      <w:r>
        <w:rPr>
          <w:lang w:val="en-US" w:eastAsia="uk-UA"/>
        </w:rPr>
        <w:t>灌注变异指数PVI模块及附件1套</w:t>
      </w:r>
    </w:p>
    <w:p w14:paraId="12BDF7DD">
      <w:pPr>
        <w:rPr>
          <w:rFonts w:hint="eastAsia"/>
          <w:lang w:val="en-US" w:eastAsia="zh-CN"/>
        </w:rPr>
      </w:pPr>
      <w:r>
        <w:rPr>
          <w:rFonts w:hint="eastAsia"/>
          <w:lang w:val="en-US" w:eastAsia="zh-CN"/>
        </w:rPr>
        <w:t>12、一次性和可重复使用体温探头各1套</w:t>
      </w:r>
    </w:p>
    <w:p w14:paraId="31EF7E45">
      <w:pPr>
        <w:rPr>
          <w:rFonts w:hint="eastAsia"/>
          <w:lang w:val="en-US" w:eastAsia="zh-CN"/>
        </w:rPr>
      </w:pPr>
    </w:p>
    <w:p w14:paraId="12EB44EF">
      <w:pPr>
        <w:rPr>
          <w:rFonts w:hint="eastAsia"/>
          <w:lang w:val="en-US" w:eastAsia="zh-CN"/>
        </w:rPr>
      </w:pPr>
    </w:p>
    <w:p w14:paraId="28DBBC32">
      <w:pPr>
        <w:spacing w:line="0" w:lineRule="atLeast"/>
        <w:jc w:val="both"/>
        <w:rPr>
          <w:rFonts w:hint="default"/>
          <w:b/>
          <w:bCs/>
          <w:sz w:val="24"/>
          <w:szCs w:val="24"/>
        </w:rPr>
      </w:pPr>
      <w:r>
        <w:rPr>
          <w:b/>
          <w:bCs/>
          <w:sz w:val="24"/>
          <w:szCs w:val="24"/>
        </w:rPr>
        <w:t>手术无影灯</w:t>
      </w:r>
      <w:r>
        <w:rPr>
          <w:rFonts w:ascii="宋体" w:hAnsi="宋体"/>
          <w:b/>
          <w:sz w:val="24"/>
          <w:szCs w:val="24"/>
        </w:rPr>
        <w:t>技术规格及配置要求</w:t>
      </w:r>
    </w:p>
    <w:p w14:paraId="1CFFB314">
      <w:pPr>
        <w:spacing w:line="0" w:lineRule="atLeast"/>
        <w:rPr>
          <w:rFonts w:hint="default" w:ascii="宋体" w:hAnsi="宋体" w:cs="宋体"/>
          <w:kern w:val="0"/>
          <w:sz w:val="24"/>
        </w:rPr>
      </w:pPr>
      <w:r>
        <w:rPr>
          <w:rFonts w:ascii="宋体" w:hAnsi="宋体"/>
          <w:sz w:val="24"/>
        </w:rPr>
        <w:t xml:space="preserve"> </w:t>
      </w:r>
    </w:p>
    <w:p w14:paraId="6DE14A5F">
      <w:pPr>
        <w:spacing w:line="0" w:lineRule="atLeast"/>
        <w:ind w:left="-315" w:leftChars="-150" w:firstLine="422" w:firstLineChars="200"/>
        <w:rPr>
          <w:rFonts w:hint="default" w:ascii="宋体" w:hAnsi="宋体"/>
          <w:sz w:val="21"/>
          <w:szCs w:val="21"/>
        </w:rPr>
      </w:pPr>
      <w:r>
        <w:rPr>
          <w:rFonts w:ascii="宋体" w:hAnsi="宋体"/>
          <w:b/>
          <w:sz w:val="21"/>
          <w:szCs w:val="21"/>
        </w:rPr>
        <w:t>主要技术性能指标要求</w:t>
      </w:r>
      <w:r>
        <w:rPr>
          <w:rFonts w:ascii="宋体" w:hAnsi="宋体"/>
          <w:sz w:val="21"/>
          <w:szCs w:val="21"/>
        </w:rPr>
        <w:t>：</w:t>
      </w:r>
    </w:p>
    <w:p w14:paraId="57A3FEFD">
      <w:pPr>
        <w:numPr>
          <w:ilvl w:val="0"/>
          <w:numId w:val="3"/>
        </w:numPr>
        <w:ind w:left="0" w:firstLine="0"/>
        <w:rPr>
          <w:rFonts w:ascii="宋体" w:hAnsi="宋体" w:cs="宋体"/>
          <w:sz w:val="21"/>
          <w:szCs w:val="21"/>
        </w:rPr>
      </w:pPr>
      <w:r>
        <w:rPr>
          <w:rFonts w:ascii="宋体" w:hAnsi="宋体" w:cs="宋体"/>
          <w:sz w:val="21"/>
          <w:szCs w:val="21"/>
        </w:rPr>
        <w:t>原装著名品牌。</w:t>
      </w:r>
      <w:r>
        <w:rPr>
          <w:rFonts w:ascii="宋体" w:hAnsi="宋体"/>
          <w:sz w:val="21"/>
          <w:szCs w:val="21"/>
        </w:rPr>
        <w:t>吊顶式安装，双悬臂子母灯或双灯光源，满足现代手术室消毒和层流要求。</w:t>
      </w:r>
    </w:p>
    <w:p w14:paraId="0D7595AF">
      <w:pPr>
        <w:numPr>
          <w:ilvl w:val="0"/>
          <w:numId w:val="3"/>
        </w:numPr>
        <w:ind w:left="0" w:firstLine="0"/>
        <w:rPr>
          <w:rFonts w:ascii="宋体" w:hAnsi="宋体" w:cs="宋体"/>
          <w:sz w:val="21"/>
          <w:szCs w:val="21"/>
        </w:rPr>
      </w:pPr>
      <w:r>
        <w:rPr>
          <w:rFonts w:ascii="宋体" w:hAnsi="宋体" w:cs="宋体"/>
          <w:sz w:val="21"/>
          <w:szCs w:val="21"/>
        </w:rPr>
        <w:t>双头LED无影灯型，圆盘式设计，可满足各科室手术照明使用。</w:t>
      </w:r>
    </w:p>
    <w:p w14:paraId="7EB97AD9">
      <w:pPr>
        <w:numPr>
          <w:ilvl w:val="0"/>
          <w:numId w:val="3"/>
        </w:numPr>
        <w:ind w:left="478" w:right="-313" w:rightChars="-149" w:hanging="417" w:hangingChars="199"/>
        <w:rPr>
          <w:rFonts w:ascii="宋体" w:hAnsi="宋体" w:cs="宋体"/>
          <w:sz w:val="21"/>
          <w:szCs w:val="21"/>
        </w:rPr>
      </w:pPr>
      <w:r>
        <w:rPr>
          <w:rFonts w:ascii="宋体" w:hAnsi="宋体"/>
          <w:sz w:val="21"/>
          <w:szCs w:val="21"/>
        </w:rPr>
        <w:t>无影灯平衡臂为德国原装进口弹簧臂，关节灵活度大，灯臂关节数≥6个，</w:t>
      </w:r>
      <w:r>
        <w:rPr>
          <w:rFonts w:ascii="宋体" w:hAnsi="宋体" w:cs="宋体"/>
          <w:sz w:val="21"/>
          <w:szCs w:val="21"/>
        </w:rPr>
        <w:t>其中3组关节可作360°全方位运动，灵活轻便。</w:t>
      </w:r>
      <w:r>
        <w:rPr>
          <w:rFonts w:ascii="宋体" w:hAnsi="宋体"/>
          <w:sz w:val="21"/>
          <w:szCs w:val="21"/>
        </w:rPr>
        <w:t>稳定性好，定位准确（提供近半年内的进口报关清单）</w:t>
      </w:r>
    </w:p>
    <w:p w14:paraId="1FF53816">
      <w:pPr>
        <w:numPr>
          <w:ilvl w:val="0"/>
          <w:numId w:val="3"/>
        </w:numPr>
        <w:ind w:left="0" w:firstLine="0"/>
        <w:rPr>
          <w:rFonts w:ascii="宋体" w:hAnsi="宋体" w:cs="宋体"/>
          <w:sz w:val="21"/>
          <w:szCs w:val="21"/>
        </w:rPr>
      </w:pPr>
      <w:r>
        <w:rPr>
          <w:rFonts w:ascii="宋体" w:hAnsi="宋体" w:cs="宋体"/>
          <w:sz w:val="21"/>
          <w:szCs w:val="21"/>
        </w:rPr>
        <w:t>具有良好的刹车系统保证不飘移，手术灯照明设计以旋转接点供电设计</w:t>
      </w:r>
    </w:p>
    <w:p w14:paraId="72295B02">
      <w:pPr>
        <w:numPr>
          <w:ilvl w:val="0"/>
          <w:numId w:val="3"/>
        </w:numPr>
        <w:ind w:left="0" w:firstLine="0"/>
        <w:rPr>
          <w:rFonts w:ascii="宋体" w:hAnsi="宋体" w:cs="宋体"/>
          <w:sz w:val="21"/>
          <w:szCs w:val="21"/>
        </w:rPr>
      </w:pPr>
      <w:r>
        <w:rPr>
          <w:rFonts w:ascii="宋体" w:hAnsi="宋体" w:cs="宋体"/>
          <w:sz w:val="21"/>
          <w:szCs w:val="21"/>
        </w:rPr>
        <w:t>灯头最大光照明强度：≥ 120，000Lux</w:t>
      </w:r>
    </w:p>
    <w:p w14:paraId="027634D7">
      <w:pPr>
        <w:numPr>
          <w:ilvl w:val="0"/>
          <w:numId w:val="3"/>
        </w:numPr>
        <w:ind w:left="0" w:firstLine="0"/>
        <w:rPr>
          <w:rFonts w:ascii="宋体" w:hAnsi="宋体" w:cs="宋体"/>
          <w:sz w:val="21"/>
          <w:szCs w:val="21"/>
        </w:rPr>
      </w:pPr>
      <w:r>
        <w:rPr>
          <w:rFonts w:ascii="宋体" w:hAnsi="宋体" w:cs="宋体"/>
          <w:sz w:val="21"/>
          <w:szCs w:val="21"/>
        </w:rPr>
        <w:t>灯头直径：≥55cm</w:t>
      </w:r>
    </w:p>
    <w:p w14:paraId="7711D238">
      <w:pPr>
        <w:numPr>
          <w:ilvl w:val="0"/>
          <w:numId w:val="3"/>
        </w:numPr>
        <w:ind w:left="0" w:firstLine="0"/>
        <w:rPr>
          <w:rFonts w:ascii="宋体" w:hAnsi="宋体" w:cs="宋体"/>
          <w:sz w:val="21"/>
          <w:szCs w:val="21"/>
        </w:rPr>
      </w:pPr>
      <w:r>
        <w:rPr>
          <w:rFonts w:ascii="宋体" w:hAnsi="宋体" w:cs="宋体"/>
          <w:sz w:val="21"/>
          <w:szCs w:val="21"/>
        </w:rPr>
        <w:t xml:space="preserve">光斑可调，聚焦范围≥160-250mm </w:t>
      </w:r>
    </w:p>
    <w:p w14:paraId="431C5531">
      <w:pPr>
        <w:numPr>
          <w:ilvl w:val="0"/>
          <w:numId w:val="3"/>
        </w:numPr>
        <w:ind w:left="0" w:firstLine="0"/>
        <w:rPr>
          <w:rFonts w:ascii="宋体" w:hAnsi="宋体" w:cs="宋体"/>
          <w:sz w:val="21"/>
          <w:szCs w:val="21"/>
        </w:rPr>
      </w:pPr>
      <w:r>
        <w:rPr>
          <w:rFonts w:ascii="宋体" w:hAnsi="宋体" w:cs="宋体"/>
          <w:sz w:val="21"/>
          <w:szCs w:val="21"/>
        </w:rPr>
        <w:t>光柱深度：≥</w:t>
      </w:r>
      <w:r>
        <w:rPr>
          <w:rFonts w:ascii="宋体" w:hAnsi="宋体" w:cs="宋体"/>
          <w:kern w:val="0"/>
          <w:sz w:val="21"/>
          <w:szCs w:val="21"/>
        </w:rPr>
        <w:t>120cm</w:t>
      </w:r>
    </w:p>
    <w:p w14:paraId="0247A516">
      <w:pPr>
        <w:numPr>
          <w:ilvl w:val="0"/>
          <w:numId w:val="3"/>
        </w:numPr>
        <w:ind w:left="0" w:firstLine="0"/>
        <w:rPr>
          <w:rFonts w:ascii="宋体" w:hAnsi="宋体" w:cs="宋体"/>
          <w:sz w:val="21"/>
          <w:szCs w:val="21"/>
        </w:rPr>
      </w:pPr>
      <w:r>
        <w:rPr>
          <w:rFonts w:ascii="宋体" w:hAnsi="宋体" w:cs="宋体"/>
          <w:sz w:val="21"/>
          <w:szCs w:val="21"/>
        </w:rPr>
        <w:t>色温：≥4200K</w:t>
      </w:r>
    </w:p>
    <w:p w14:paraId="0CD29CB1">
      <w:pPr>
        <w:numPr>
          <w:ilvl w:val="0"/>
          <w:numId w:val="3"/>
        </w:numPr>
        <w:ind w:left="0" w:firstLine="0"/>
        <w:rPr>
          <w:rFonts w:ascii="宋体" w:hAnsi="宋体" w:cs="宋体"/>
          <w:sz w:val="21"/>
          <w:szCs w:val="21"/>
        </w:rPr>
      </w:pPr>
      <w:r>
        <w:rPr>
          <w:rFonts w:ascii="宋体" w:hAnsi="宋体"/>
          <w:sz w:val="21"/>
          <w:szCs w:val="21"/>
        </w:rPr>
        <w:t>色彩还原指数（ra）≥95</w:t>
      </w:r>
      <w:r>
        <w:rPr>
          <w:rFonts w:ascii="宋体" w:hAnsi="宋体" w:cs="宋体"/>
          <w:sz w:val="21"/>
          <w:szCs w:val="21"/>
        </w:rPr>
        <w:t xml:space="preserve"> </w:t>
      </w:r>
    </w:p>
    <w:p w14:paraId="1192C7AD">
      <w:pPr>
        <w:numPr>
          <w:ilvl w:val="0"/>
          <w:numId w:val="3"/>
        </w:numPr>
        <w:ind w:left="0" w:firstLine="0"/>
        <w:rPr>
          <w:rFonts w:ascii="宋体" w:hAnsi="宋体" w:cs="宋体"/>
          <w:sz w:val="21"/>
          <w:szCs w:val="21"/>
        </w:rPr>
      </w:pPr>
      <w:r>
        <w:rPr>
          <w:rFonts w:ascii="宋体" w:hAnsi="宋体" w:cs="宋体"/>
          <w:sz w:val="21"/>
          <w:szCs w:val="21"/>
        </w:rPr>
        <w:t>LED灯泡平均寿命：≥50000小时；</w:t>
      </w:r>
    </w:p>
    <w:p w14:paraId="0A613084">
      <w:pPr>
        <w:numPr>
          <w:ilvl w:val="0"/>
          <w:numId w:val="3"/>
        </w:numPr>
        <w:ind w:left="0" w:firstLine="0"/>
        <w:rPr>
          <w:rFonts w:ascii="宋体" w:hAnsi="宋体" w:cs="宋体"/>
          <w:sz w:val="21"/>
          <w:szCs w:val="21"/>
        </w:rPr>
      </w:pPr>
      <w:r>
        <w:rPr>
          <w:rFonts w:ascii="宋体" w:hAnsi="宋体" w:cs="宋体"/>
          <w:sz w:val="21"/>
          <w:szCs w:val="21"/>
        </w:rPr>
        <w:t>灯光亮度</w:t>
      </w:r>
      <w:r>
        <w:rPr>
          <w:rFonts w:ascii="宋体" w:hAnsi="宋体"/>
          <w:sz w:val="21"/>
          <w:szCs w:val="21"/>
        </w:rPr>
        <w:t>亮度无级或多段可调</w:t>
      </w:r>
    </w:p>
    <w:p w14:paraId="738FA292">
      <w:pPr>
        <w:numPr>
          <w:ilvl w:val="0"/>
          <w:numId w:val="3"/>
        </w:numPr>
        <w:ind w:left="480" w:hanging="420" w:hangingChars="200"/>
        <w:rPr>
          <w:rFonts w:ascii="宋体" w:hAnsi="宋体" w:cs="宋体"/>
          <w:bCs/>
          <w:color w:val="000000"/>
          <w:sz w:val="21"/>
          <w:szCs w:val="21"/>
        </w:rPr>
      </w:pPr>
      <w:r>
        <w:rPr>
          <w:rFonts w:ascii="宋体" w:hAnsi="宋体" w:cs="宋体"/>
          <w:sz w:val="21"/>
          <w:szCs w:val="21"/>
        </w:rPr>
        <w:t>采用高强度、防腐蚀材料，易清洁、维护。</w:t>
      </w:r>
    </w:p>
    <w:p w14:paraId="30A74812">
      <w:pPr>
        <w:numPr>
          <w:ilvl w:val="0"/>
          <w:numId w:val="3"/>
        </w:numPr>
        <w:ind w:left="480" w:hanging="420" w:hangingChars="200"/>
        <w:rPr>
          <w:rFonts w:ascii="宋体" w:hAnsi="宋体" w:cs="宋体"/>
          <w:bCs/>
          <w:color w:val="000000"/>
          <w:sz w:val="21"/>
          <w:szCs w:val="21"/>
        </w:rPr>
      </w:pPr>
      <w:r>
        <w:rPr>
          <w:rFonts w:ascii="宋体" w:hAnsi="宋体" w:cs="宋体"/>
          <w:sz w:val="21"/>
          <w:szCs w:val="21"/>
        </w:rPr>
        <w:t>无影灯手把组为无方向型、可拆卸、可高温高压消毒</w:t>
      </w:r>
    </w:p>
    <w:p w14:paraId="78E2529C">
      <w:pPr>
        <w:numPr>
          <w:ilvl w:val="0"/>
          <w:numId w:val="3"/>
        </w:numPr>
        <w:ind w:left="0" w:firstLine="0"/>
        <w:rPr>
          <w:rFonts w:ascii="宋体" w:hAnsi="宋体"/>
          <w:sz w:val="21"/>
          <w:szCs w:val="21"/>
        </w:rPr>
      </w:pPr>
      <w:r>
        <w:rPr>
          <w:rFonts w:ascii="宋体" w:hAnsi="宋体"/>
          <w:sz w:val="21"/>
          <w:szCs w:val="21"/>
        </w:rPr>
        <w:t>可选配第三臂外挂高清摄像系统。</w:t>
      </w:r>
    </w:p>
    <w:p w14:paraId="1B53F036">
      <w:pPr>
        <w:ind w:left="330" w:leftChars="57" w:hanging="210" w:hangingChars="100"/>
        <w:rPr>
          <w:rFonts w:hint="default" w:ascii="宋体" w:hAnsi="宋体"/>
          <w:sz w:val="21"/>
          <w:szCs w:val="21"/>
        </w:rPr>
      </w:pPr>
    </w:p>
    <w:p w14:paraId="09108DE0">
      <w:pPr>
        <w:spacing w:line="0" w:lineRule="atLeast"/>
        <w:ind w:firstLine="211" w:firstLineChars="100"/>
        <w:rPr>
          <w:rFonts w:hint="default" w:ascii="宋体" w:hAnsi="宋体"/>
          <w:b/>
          <w:sz w:val="21"/>
          <w:szCs w:val="21"/>
        </w:rPr>
      </w:pPr>
      <w:r>
        <w:rPr>
          <w:rFonts w:ascii="宋体" w:hAnsi="宋体"/>
          <w:b/>
          <w:sz w:val="21"/>
          <w:szCs w:val="21"/>
        </w:rPr>
        <w:t>售后服务：</w:t>
      </w:r>
    </w:p>
    <w:p w14:paraId="6E0E2EA5">
      <w:pPr>
        <w:spacing w:line="0" w:lineRule="atLeast"/>
        <w:ind w:firstLine="210" w:firstLineChars="100"/>
        <w:rPr>
          <w:rFonts w:hint="default" w:ascii="宋体" w:hAnsi="宋体"/>
          <w:color w:val="000000"/>
          <w:sz w:val="21"/>
          <w:szCs w:val="21"/>
        </w:rPr>
      </w:pPr>
      <w:r>
        <w:rPr>
          <w:rFonts w:ascii="宋体" w:hAnsi="宋体" w:cs="Arial"/>
          <w:bCs/>
          <w:sz w:val="21"/>
          <w:szCs w:val="21"/>
        </w:rPr>
        <w:t>1、</w:t>
      </w:r>
      <w:r>
        <w:rPr>
          <w:rFonts w:ascii="宋体" w:hAnsi="宋体"/>
          <w:color w:val="000000"/>
          <w:sz w:val="21"/>
          <w:szCs w:val="21"/>
        </w:rPr>
        <w:t>免费提供操作和维修培训</w:t>
      </w:r>
    </w:p>
    <w:p w14:paraId="4C23310F">
      <w:pPr>
        <w:spacing w:line="0" w:lineRule="atLeast"/>
        <w:ind w:left="239" w:leftChars="114"/>
        <w:rPr>
          <w:rFonts w:hint="default" w:ascii="宋体" w:hAnsi="宋体"/>
          <w:bCs/>
          <w:sz w:val="21"/>
          <w:szCs w:val="21"/>
        </w:rPr>
      </w:pPr>
      <w:r>
        <w:rPr>
          <w:rFonts w:ascii="宋体" w:hAnsi="宋体" w:cs="Arial"/>
          <w:bCs/>
          <w:sz w:val="21"/>
          <w:szCs w:val="21"/>
        </w:rPr>
        <w:t>2、</w:t>
      </w:r>
      <w:r>
        <w:rPr>
          <w:rFonts w:ascii="宋体" w:hAnsi="宋体"/>
          <w:sz w:val="21"/>
          <w:szCs w:val="21"/>
        </w:rPr>
        <w:t>保修期贰年以上。提供详细的售后服务承诺书，详细列明保修范围及期限（包括主机及附件），维修</w:t>
      </w:r>
      <w:r>
        <w:rPr>
          <w:rFonts w:ascii="宋体" w:hAnsi="宋体"/>
          <w:bCs/>
          <w:sz w:val="21"/>
          <w:szCs w:val="21"/>
        </w:rPr>
        <w:t>质量保证体系及有关证明文件。</w:t>
      </w:r>
    </w:p>
    <w:p w14:paraId="00722B0D">
      <w:pPr>
        <w:rPr>
          <w:rFonts w:hint="default"/>
          <w:sz w:val="21"/>
          <w:szCs w:val="21"/>
          <w:lang w:val="en-US" w:eastAsia="zh-CN"/>
        </w:rPr>
      </w:pPr>
    </w:p>
    <w:p w14:paraId="17DA34C8">
      <w:pPr>
        <w:rPr>
          <w:rFonts w:hint="default"/>
          <w:sz w:val="21"/>
          <w:szCs w:val="21"/>
          <w:lang w:val="en-US" w:eastAsia="zh-CN"/>
        </w:rPr>
      </w:pPr>
    </w:p>
    <w:p w14:paraId="5FE650AF">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eastAsiaTheme="minorEastAsia"/>
          <w:color w:val="auto"/>
          <w:sz w:val="24"/>
          <w:szCs w:val="24"/>
          <w:lang w:eastAsia="zh-CN"/>
        </w:rPr>
      </w:pPr>
      <w:r>
        <w:rPr>
          <w:rFonts w:hint="eastAsia"/>
          <w:b/>
          <w:bCs/>
          <w:color w:val="auto"/>
          <w:sz w:val="24"/>
          <w:szCs w:val="24"/>
        </w:rPr>
        <w:t>冲击波治疗</w:t>
      </w:r>
      <w:r>
        <w:rPr>
          <w:rFonts w:hint="eastAsia"/>
          <w:b/>
          <w:bCs/>
          <w:color w:val="auto"/>
          <w:sz w:val="24"/>
          <w:szCs w:val="24"/>
          <w:lang w:val="en-US" w:eastAsia="zh-CN"/>
        </w:rPr>
        <w:t>机</w:t>
      </w:r>
      <w:r>
        <w:rPr>
          <w:rFonts w:hint="eastAsia"/>
          <w:b/>
          <w:bCs/>
          <w:color w:val="auto"/>
          <w:sz w:val="24"/>
          <w:szCs w:val="24"/>
        </w:rPr>
        <w:t>技术</w:t>
      </w:r>
      <w:r>
        <w:rPr>
          <w:rFonts w:hint="eastAsia"/>
          <w:b/>
          <w:bCs/>
          <w:color w:val="auto"/>
          <w:sz w:val="24"/>
          <w:szCs w:val="24"/>
          <w:lang w:eastAsia="zh-CN"/>
        </w:rPr>
        <w:t>要求及</w:t>
      </w:r>
      <w:r>
        <w:rPr>
          <w:rFonts w:hint="eastAsia"/>
          <w:b/>
          <w:bCs/>
          <w:color w:val="auto"/>
          <w:sz w:val="24"/>
          <w:szCs w:val="24"/>
        </w:rPr>
        <w:t>参数</w:t>
      </w:r>
    </w:p>
    <w:p w14:paraId="10D5900C">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适用范围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适用于疼痛的辅助治疗</w:t>
      </w:r>
    </w:p>
    <w:p w14:paraId="735D9642">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技术原理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应当采用带空气压缩机的气压弹道技术</w:t>
      </w:r>
      <w:r>
        <w:rPr>
          <w:rFonts w:hint="eastAsia" w:asciiTheme="minorEastAsia" w:hAnsiTheme="minorEastAsia" w:eastAsiaTheme="minorEastAsia" w:cstheme="minorEastAsia"/>
          <w:color w:val="auto"/>
          <w:sz w:val="21"/>
          <w:szCs w:val="21"/>
          <w:lang w:eastAsia="zh-CN"/>
        </w:rPr>
        <w:t>，非油式压缩机</w:t>
      </w:r>
    </w:p>
    <w:p w14:paraId="5CEBC071">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手柄通道数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单</w:t>
      </w:r>
      <w:r>
        <w:rPr>
          <w:rFonts w:hint="eastAsia" w:asciiTheme="minorEastAsia" w:hAnsiTheme="minorEastAsia" w:eastAsiaTheme="minorEastAsia" w:cstheme="minorEastAsia"/>
          <w:color w:val="auto"/>
          <w:sz w:val="21"/>
          <w:szCs w:val="21"/>
        </w:rPr>
        <w:t>通道</w:t>
      </w:r>
    </w:p>
    <w:p w14:paraId="2751A84A">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压力范围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1.0-5.0bar</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压力调节步长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0.1bar</w:t>
      </w:r>
    </w:p>
    <w:p w14:paraId="68089327">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治疗频率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1-22Hz</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频率调节步长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0.5Hz</w:t>
      </w:r>
    </w:p>
    <w:p w14:paraId="04437A5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预设冲击次数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可调范围为100-9900次，调节步进值100次</w:t>
      </w:r>
    </w:p>
    <w:p w14:paraId="435F5DA0">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可选配</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种尺寸治疗头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其中包含能量密度≥4.78mJ/mm</w:t>
      </w:r>
      <w:r>
        <w:rPr>
          <w:rFonts w:hint="eastAsia" w:asciiTheme="minorEastAsia" w:hAnsiTheme="minorEastAsia" w:eastAsiaTheme="minorEastAsia" w:cstheme="minorEastAsia"/>
          <w:color w:val="auto"/>
          <w:sz w:val="21"/>
          <w:szCs w:val="21"/>
          <w:vertAlign w:val="superscript"/>
          <w:lang w:val="en-US" w:eastAsia="zh-CN"/>
        </w:rPr>
        <w:t>2</w:t>
      </w:r>
      <w:r>
        <w:rPr>
          <w:rFonts w:hint="eastAsia" w:asciiTheme="minorEastAsia" w:hAnsiTheme="minorEastAsia" w:eastAsiaTheme="minorEastAsia" w:cstheme="minorEastAsia"/>
          <w:color w:val="auto"/>
          <w:sz w:val="21"/>
          <w:szCs w:val="21"/>
          <w:vertAlign w:val="baseline"/>
          <w:lang w:val="en-US" w:eastAsia="zh-CN"/>
        </w:rPr>
        <w:t>的治疗头</w:t>
      </w:r>
    </w:p>
    <w:p w14:paraId="77AD932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手柄减震设计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手柄带有减震设计，具有可伸缩的冲击头，以缓解操作者手</w:t>
      </w:r>
      <w:r>
        <w:rPr>
          <w:rFonts w:hint="eastAsia" w:asciiTheme="minorEastAsia" w:hAnsiTheme="minorEastAsia" w:eastAsiaTheme="minorEastAsia" w:cstheme="minorEastAsia"/>
          <w:color w:val="auto"/>
          <w:sz w:val="21"/>
          <w:szCs w:val="21"/>
          <w:lang w:val="en-US" w:eastAsia="zh-CN"/>
        </w:rPr>
        <w:t>腕</w:t>
      </w:r>
      <w:r>
        <w:rPr>
          <w:rFonts w:hint="eastAsia" w:asciiTheme="minorEastAsia" w:hAnsiTheme="minorEastAsia" w:eastAsiaTheme="minorEastAsia" w:cstheme="minorEastAsia"/>
          <w:color w:val="auto"/>
          <w:sz w:val="21"/>
          <w:szCs w:val="21"/>
        </w:rPr>
        <w:t>部疲劳，避免职业损伤</w:t>
      </w:r>
    </w:p>
    <w:p w14:paraId="01A58188">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手柄具有按压启动功能</w:t>
      </w:r>
    </w:p>
    <w:p w14:paraId="4AB75B3E">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按摩手枪功能：主机有按摩手枪接口，可接入按摩手枪，按摩枪可配备＞7个治疗头</w:t>
      </w:r>
    </w:p>
    <w:p w14:paraId="6DF06EFB">
      <w:pPr>
        <w:keepNext w:val="0"/>
        <w:keepLines w:val="0"/>
        <w:pageBreakBefore w:val="0"/>
        <w:widowControl w:val="0"/>
        <w:numPr>
          <w:ilvl w:val="0"/>
          <w:numId w:val="4"/>
        </w:numPr>
        <w:tabs>
          <w:tab w:val="left" w:pos="383"/>
        </w:tabs>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大屏</w:t>
      </w:r>
      <w:r>
        <w:rPr>
          <w:rFonts w:hint="eastAsia" w:asciiTheme="minorEastAsia" w:hAnsiTheme="minorEastAsia" w:eastAsiaTheme="minorEastAsia" w:cstheme="minorEastAsia"/>
          <w:color w:val="auto"/>
          <w:sz w:val="21"/>
          <w:szCs w:val="21"/>
        </w:rPr>
        <w:t>显示及操作功能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支持≥</w:t>
      </w:r>
      <w:r>
        <w:rPr>
          <w:rFonts w:hint="eastAsia" w:asciiTheme="minorEastAsia" w:hAnsiTheme="minorEastAsia" w:eastAsiaTheme="minorEastAsia" w:cstheme="minorEastAsia"/>
          <w:color w:val="auto"/>
          <w:sz w:val="21"/>
          <w:szCs w:val="21"/>
          <w:lang w:val="en-US" w:eastAsia="zh-CN"/>
        </w:rPr>
        <w:t>9英寸</w:t>
      </w:r>
      <w:r>
        <w:rPr>
          <w:rFonts w:hint="eastAsia" w:asciiTheme="minorEastAsia" w:hAnsiTheme="minorEastAsia" w:eastAsiaTheme="minorEastAsia" w:cstheme="minorEastAsia"/>
          <w:color w:val="auto"/>
          <w:sz w:val="21"/>
          <w:szCs w:val="21"/>
        </w:rPr>
        <w:t>屏幕显示及操作</w:t>
      </w:r>
    </w:p>
    <w:p w14:paraId="3BE117DE">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具有</w:t>
      </w:r>
      <w:r>
        <w:rPr>
          <w:rFonts w:hint="eastAsia" w:asciiTheme="minorEastAsia" w:hAnsiTheme="minorEastAsia" w:eastAsiaTheme="minorEastAsia" w:cstheme="minorEastAsia"/>
          <w:color w:val="auto"/>
          <w:sz w:val="21"/>
          <w:szCs w:val="21"/>
        </w:rPr>
        <w:t>人脸识别</w:t>
      </w:r>
      <w:r>
        <w:rPr>
          <w:rFonts w:hint="eastAsia" w:asciiTheme="minorEastAsia" w:hAnsiTheme="minorEastAsia" w:eastAsiaTheme="minorEastAsia" w:cstheme="minorEastAsia"/>
          <w:color w:val="auto"/>
          <w:sz w:val="21"/>
          <w:szCs w:val="21"/>
          <w:lang w:val="en-US" w:eastAsia="zh-CN"/>
        </w:rPr>
        <w:t>功能</w:t>
      </w:r>
    </w:p>
    <w:p w14:paraId="10DE883E">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启动模式具有</w:t>
      </w:r>
      <w:r>
        <w:rPr>
          <w:rFonts w:hint="eastAsia" w:asciiTheme="minorEastAsia" w:hAnsiTheme="minorEastAsia" w:eastAsiaTheme="minorEastAsia" w:cstheme="minorEastAsia"/>
          <w:color w:val="auto"/>
          <w:sz w:val="21"/>
          <w:szCs w:val="21"/>
        </w:rPr>
        <w:t>快速</w:t>
      </w:r>
      <w:r>
        <w:rPr>
          <w:rFonts w:hint="eastAsia" w:asciiTheme="minorEastAsia" w:hAnsiTheme="minorEastAsia" w:eastAsiaTheme="minorEastAsia" w:cstheme="minorEastAsia"/>
          <w:color w:val="auto"/>
          <w:sz w:val="21"/>
          <w:szCs w:val="21"/>
          <w:lang w:val="en-US" w:eastAsia="zh-CN"/>
        </w:rPr>
        <w:t>模式</w:t>
      </w:r>
      <w:r>
        <w:rPr>
          <w:rFonts w:hint="eastAsia" w:asciiTheme="minorEastAsia" w:hAnsiTheme="minorEastAsia" w:eastAsiaTheme="minorEastAsia" w:cstheme="minorEastAsia"/>
          <w:color w:val="auto"/>
          <w:sz w:val="21"/>
          <w:szCs w:val="21"/>
        </w:rPr>
        <w:t>和标准模式</w:t>
      </w:r>
      <w:r>
        <w:rPr>
          <w:rFonts w:hint="eastAsia" w:asciiTheme="minorEastAsia" w:hAnsiTheme="minorEastAsia" w:eastAsiaTheme="minorEastAsia" w:cstheme="minorEastAsia"/>
          <w:color w:val="auto"/>
          <w:sz w:val="21"/>
          <w:szCs w:val="21"/>
          <w:lang w:val="en-US" w:eastAsia="zh-CN"/>
        </w:rPr>
        <w:t>两种选择</w:t>
      </w:r>
    </w:p>
    <w:p w14:paraId="5740CBC6">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治疗模式≥4种，</w:t>
      </w:r>
      <w:r>
        <w:rPr>
          <w:rFonts w:hint="eastAsia" w:asciiTheme="minorEastAsia" w:hAnsiTheme="minorEastAsia" w:eastAsiaTheme="minorEastAsia" w:cstheme="minorEastAsia"/>
          <w:color w:val="auto"/>
          <w:sz w:val="21"/>
          <w:szCs w:val="21"/>
        </w:rPr>
        <w:t>包括手动治疗模式，自动线性调节模式，变频变压调节模式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自动线性+变频变压调节模式</w:t>
      </w:r>
    </w:p>
    <w:p w14:paraId="5498BA2C">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具有病历存储功能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支持存储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58</w:t>
      </w:r>
      <w:r>
        <w:rPr>
          <w:rFonts w:hint="eastAsia" w:asciiTheme="minorEastAsia" w:hAnsiTheme="minorEastAsia" w:eastAsiaTheme="minorEastAsia" w:cstheme="minorEastAsia"/>
          <w:color w:val="auto"/>
          <w:sz w:val="21"/>
          <w:szCs w:val="21"/>
          <w:highlight w:val="none"/>
        </w:rPr>
        <w:t>000 条治疗记录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可实现无限存储</w:t>
      </w:r>
    </w:p>
    <w:p w14:paraId="5D87AEAC">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具有</w:t>
      </w:r>
      <w:r>
        <w:rPr>
          <w:rFonts w:hint="eastAsia" w:asciiTheme="minorEastAsia" w:hAnsiTheme="minorEastAsia" w:eastAsiaTheme="minorEastAsia" w:cstheme="minorEastAsia"/>
          <w:color w:val="auto"/>
          <w:sz w:val="21"/>
          <w:szCs w:val="21"/>
        </w:rPr>
        <w:t>手柄识别功能</w:t>
      </w:r>
    </w:p>
    <w:p w14:paraId="3E637FF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方案管理及自定义：</w:t>
      </w:r>
      <w:r>
        <w:rPr>
          <w:rFonts w:hint="eastAsia" w:asciiTheme="minorEastAsia" w:hAnsiTheme="minorEastAsia" w:eastAsiaTheme="minorEastAsia" w:cstheme="minorEastAsia"/>
          <w:color w:val="auto"/>
          <w:sz w:val="21"/>
          <w:szCs w:val="21"/>
        </w:rPr>
        <w:t>支持预置</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rPr>
        <w:t>0 种推荐方案功能，具有自定义方案功能</w:t>
      </w:r>
    </w:p>
    <w:p w14:paraId="205FAF59">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具有内置人体解剖部位图功能</w:t>
      </w:r>
    </w:p>
    <w:p w14:paraId="55041AF7">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无线联网功能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具有WIFI和蓝牙联网功能</w:t>
      </w:r>
    </w:p>
    <w:p w14:paraId="4619B2A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支持HIS连接功能</w:t>
      </w:r>
    </w:p>
    <w:p w14:paraId="77BBDFC7">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计数器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对单次治疗进行计数显示在计数装置上，具备独立计数器记录子弹体与治疗头总的碰撞次数</w:t>
      </w:r>
    </w:p>
    <w:p w14:paraId="0798E947">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具有双重</w:t>
      </w:r>
      <w:r>
        <w:rPr>
          <w:rFonts w:hint="eastAsia" w:asciiTheme="minorEastAsia" w:hAnsiTheme="minorEastAsia" w:eastAsiaTheme="minorEastAsia" w:cstheme="minorEastAsia"/>
          <w:color w:val="auto"/>
          <w:sz w:val="21"/>
          <w:szCs w:val="21"/>
        </w:rPr>
        <w:t>过压安全装置</w:t>
      </w:r>
    </w:p>
    <w:p w14:paraId="04C44036">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具有治疗开始/结束</w:t>
      </w:r>
      <w:r>
        <w:rPr>
          <w:rFonts w:hint="eastAsia" w:asciiTheme="minorEastAsia" w:hAnsiTheme="minorEastAsia" w:eastAsiaTheme="minorEastAsia" w:cstheme="minorEastAsia"/>
          <w:color w:val="auto"/>
          <w:sz w:val="21"/>
          <w:szCs w:val="21"/>
          <w:lang w:eastAsia="zh-CN"/>
        </w:rPr>
        <w:t>语</w:t>
      </w:r>
      <w:r>
        <w:rPr>
          <w:rFonts w:hint="eastAsia" w:asciiTheme="minorEastAsia" w:hAnsiTheme="minorEastAsia" w:eastAsiaTheme="minorEastAsia" w:cstheme="minorEastAsia"/>
          <w:color w:val="auto"/>
          <w:sz w:val="21"/>
          <w:szCs w:val="21"/>
        </w:rPr>
        <w:t>音提示功能</w:t>
      </w:r>
    </w:p>
    <w:p w14:paraId="576411D8">
      <w:pPr>
        <w:keepNext w:val="0"/>
        <w:keepLines w:val="0"/>
        <w:pageBreakBefore w:val="0"/>
        <w:numPr>
          <w:ilvl w:val="0"/>
          <w:numId w:val="4"/>
        </w:numPr>
        <w:kinsoku/>
        <w:wordWrap/>
        <w:overflowPunct/>
        <w:topLinePunct w:val="0"/>
        <w:autoSpaceDE/>
        <w:autoSpaceDN/>
        <w:bidi w:val="0"/>
        <w:adjustRightInd/>
        <w:snapToGrid/>
        <w:spacing w:line="480" w:lineRule="exact"/>
        <w:ind w:left="425" w:leftChars="0" w:hanging="425" w:firstLineChars="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故障提示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仪器在治疗过程中遇到超压、欠压、温度温度过高等情况，仪器会停止治疗并跳转到故障提示界面</w:t>
      </w:r>
    </w:p>
    <w:p w14:paraId="0D319114">
      <w:pPr>
        <w:keepNext w:val="0"/>
        <w:keepLines w:val="0"/>
        <w:pageBreakBefore w:val="0"/>
        <w:widowControl/>
        <w:numPr>
          <w:ilvl w:val="0"/>
          <w:numId w:val="4"/>
        </w:numPr>
        <w:kinsoku/>
        <w:wordWrap/>
        <w:overflowPunct/>
        <w:topLinePunct w:val="0"/>
        <w:autoSpaceDE/>
        <w:autoSpaceDN/>
        <w:bidi w:val="0"/>
        <w:adjustRightInd/>
        <w:snapToGrid/>
        <w:spacing w:line="480" w:lineRule="exact"/>
        <w:ind w:left="425" w:leftChars="0" w:hanging="425" w:firstLineChars="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易损件管理功能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具有易损件管理功能</w:t>
      </w:r>
    </w:p>
    <w:p w14:paraId="169B45A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bCs/>
          <w:color w:val="auto"/>
          <w:sz w:val="21"/>
          <w:szCs w:val="21"/>
          <w:lang w:eastAsia="zh-CN"/>
        </w:rPr>
      </w:pPr>
      <w:r>
        <w:rPr>
          <w:rFonts w:hint="eastAsia" w:asciiTheme="minorEastAsia" w:hAnsiTheme="minorEastAsia" w:cstheme="minorEastAsia"/>
          <w:b/>
          <w:bCs/>
          <w:color w:val="auto"/>
          <w:sz w:val="21"/>
          <w:szCs w:val="21"/>
          <w:lang w:eastAsia="zh-CN"/>
        </w:rPr>
        <w:t>配置要求</w:t>
      </w:r>
    </w:p>
    <w:p w14:paraId="7EF6C20B">
      <w:pPr>
        <w:pStyle w:val="8"/>
        <w:keepNext w:val="0"/>
        <w:keepLines w:val="0"/>
        <w:widowControl/>
        <w:numPr>
          <w:ilvl w:val="0"/>
          <w:numId w:val="5"/>
        </w:numPr>
        <w:suppressLineNumbers w:val="0"/>
        <w:rPr>
          <w:sz w:val="21"/>
          <w:szCs w:val="21"/>
        </w:rPr>
      </w:pPr>
      <w:r>
        <w:rPr>
          <w:rFonts w:hint="eastAsia"/>
          <w:sz w:val="21"/>
          <w:szCs w:val="21"/>
          <w:lang w:val="en-US" w:eastAsia="zh-CN"/>
        </w:rPr>
        <w:t xml:space="preserve"> </w:t>
      </w:r>
      <w:r>
        <w:rPr>
          <w:sz w:val="21"/>
          <w:szCs w:val="21"/>
        </w:rPr>
        <w:t>主机</w:t>
      </w:r>
      <w:r>
        <w:rPr>
          <w:rFonts w:hint="eastAsia"/>
          <w:sz w:val="21"/>
          <w:szCs w:val="21"/>
          <w:lang w:val="en-US" w:eastAsia="zh-CN"/>
        </w:rPr>
        <w:t xml:space="preserve">              1</w:t>
      </w:r>
      <w:r>
        <w:rPr>
          <w:sz w:val="21"/>
          <w:szCs w:val="21"/>
        </w:rPr>
        <w:t xml:space="preserve"> 台 </w:t>
      </w:r>
    </w:p>
    <w:p w14:paraId="2EE214D3">
      <w:pPr>
        <w:pStyle w:val="8"/>
        <w:keepNext w:val="0"/>
        <w:keepLines w:val="0"/>
        <w:widowControl/>
        <w:numPr>
          <w:ilvl w:val="0"/>
          <w:numId w:val="5"/>
        </w:numPr>
        <w:suppressLineNumbers w:val="0"/>
        <w:ind w:left="0" w:leftChars="0" w:firstLine="0" w:firstLineChars="0"/>
        <w:rPr>
          <w:sz w:val="21"/>
          <w:szCs w:val="21"/>
        </w:rPr>
      </w:pPr>
      <w:r>
        <w:rPr>
          <w:rFonts w:hint="eastAsia"/>
          <w:sz w:val="21"/>
          <w:szCs w:val="21"/>
          <w:lang w:val="en-US" w:eastAsia="zh-CN"/>
        </w:rPr>
        <w:t xml:space="preserve"> </w:t>
      </w:r>
      <w:r>
        <w:rPr>
          <w:sz w:val="21"/>
          <w:szCs w:val="21"/>
        </w:rPr>
        <w:t>电源线</w:t>
      </w:r>
      <w:r>
        <w:rPr>
          <w:rFonts w:hint="eastAsia"/>
          <w:sz w:val="21"/>
          <w:szCs w:val="21"/>
          <w:lang w:val="en-US" w:eastAsia="zh-CN"/>
        </w:rPr>
        <w:t xml:space="preserve">            1 </w:t>
      </w:r>
      <w:r>
        <w:rPr>
          <w:sz w:val="21"/>
          <w:szCs w:val="21"/>
        </w:rPr>
        <w:t xml:space="preserve">根 </w:t>
      </w:r>
    </w:p>
    <w:p w14:paraId="7858EF78">
      <w:pPr>
        <w:pStyle w:val="8"/>
        <w:keepNext w:val="0"/>
        <w:keepLines w:val="0"/>
        <w:widowControl/>
        <w:numPr>
          <w:ilvl w:val="0"/>
          <w:numId w:val="5"/>
        </w:numPr>
        <w:suppressLineNumbers w:val="0"/>
        <w:ind w:left="0" w:leftChars="0" w:firstLine="0" w:firstLineChars="0"/>
        <w:rPr>
          <w:sz w:val="21"/>
          <w:szCs w:val="21"/>
        </w:rPr>
      </w:pPr>
      <w:r>
        <w:rPr>
          <w:rFonts w:hint="eastAsia"/>
          <w:sz w:val="21"/>
          <w:szCs w:val="21"/>
          <w:lang w:val="en-US" w:eastAsia="zh-CN"/>
        </w:rPr>
        <w:t xml:space="preserve"> </w:t>
      </w:r>
      <w:r>
        <w:rPr>
          <w:sz w:val="21"/>
          <w:szCs w:val="21"/>
        </w:rPr>
        <w:t>控制手柄</w:t>
      </w:r>
      <w:r>
        <w:rPr>
          <w:rFonts w:hint="eastAsia"/>
          <w:sz w:val="21"/>
          <w:szCs w:val="21"/>
          <w:lang w:val="en-US" w:eastAsia="zh-CN"/>
        </w:rPr>
        <w:t xml:space="preserve">          1</w:t>
      </w:r>
      <w:r>
        <w:rPr>
          <w:sz w:val="21"/>
          <w:szCs w:val="21"/>
        </w:rPr>
        <w:t xml:space="preserve"> 个 </w:t>
      </w:r>
    </w:p>
    <w:p w14:paraId="4DF25C7F">
      <w:pPr>
        <w:pStyle w:val="8"/>
        <w:keepNext w:val="0"/>
        <w:keepLines w:val="0"/>
        <w:widowControl/>
        <w:numPr>
          <w:ilvl w:val="0"/>
          <w:numId w:val="5"/>
        </w:numPr>
        <w:suppressLineNumbers w:val="0"/>
        <w:ind w:left="0" w:leftChars="0" w:firstLine="0" w:firstLineChars="0"/>
        <w:rPr>
          <w:sz w:val="21"/>
          <w:szCs w:val="21"/>
        </w:rPr>
      </w:pPr>
      <w:r>
        <w:rPr>
          <w:rFonts w:hint="eastAsia"/>
          <w:sz w:val="21"/>
          <w:szCs w:val="21"/>
          <w:lang w:val="en-US" w:eastAsia="zh-CN"/>
        </w:rPr>
        <w:t xml:space="preserve"> </w:t>
      </w:r>
      <w:r>
        <w:rPr>
          <w:sz w:val="21"/>
          <w:szCs w:val="21"/>
        </w:rPr>
        <w:t xml:space="preserve">治疗探头 </w:t>
      </w:r>
      <w:r>
        <w:rPr>
          <w:rFonts w:hint="eastAsia"/>
          <w:sz w:val="21"/>
          <w:szCs w:val="21"/>
          <w:lang w:val="en-US" w:eastAsia="zh-CN"/>
        </w:rPr>
        <w:t xml:space="preserve">         1</w:t>
      </w:r>
      <w:r>
        <w:rPr>
          <w:sz w:val="21"/>
          <w:szCs w:val="21"/>
        </w:rPr>
        <w:t xml:space="preserve">套 </w:t>
      </w:r>
    </w:p>
    <w:p w14:paraId="7F19598B">
      <w:pPr>
        <w:pStyle w:val="8"/>
        <w:keepNext w:val="0"/>
        <w:keepLines w:val="0"/>
        <w:widowControl/>
        <w:numPr>
          <w:ilvl w:val="0"/>
          <w:numId w:val="5"/>
        </w:numPr>
        <w:suppressLineNumbers w:val="0"/>
        <w:ind w:left="0" w:leftChars="0" w:firstLine="0" w:firstLineChars="0"/>
        <w:rPr>
          <w:rFonts w:hint="eastAsia" w:asciiTheme="minorEastAsia" w:hAnsiTheme="minorEastAsia" w:cstheme="minorEastAsia"/>
          <w:b/>
          <w:bCs/>
          <w:color w:val="auto"/>
          <w:sz w:val="21"/>
          <w:szCs w:val="21"/>
          <w:lang w:eastAsia="zh-CN"/>
        </w:rPr>
      </w:pPr>
      <w:r>
        <w:rPr>
          <w:rFonts w:hint="eastAsia"/>
          <w:sz w:val="21"/>
          <w:szCs w:val="21"/>
          <w:lang w:val="en-US" w:eastAsia="zh-CN"/>
        </w:rPr>
        <w:t xml:space="preserve"> </w:t>
      </w:r>
      <w:r>
        <w:rPr>
          <w:sz w:val="21"/>
          <w:szCs w:val="21"/>
        </w:rPr>
        <w:t xml:space="preserve">医用超声耦合剂 </w:t>
      </w:r>
      <w:r>
        <w:rPr>
          <w:rFonts w:hint="eastAsia"/>
          <w:sz w:val="21"/>
          <w:szCs w:val="21"/>
          <w:lang w:val="en-US" w:eastAsia="zh-CN"/>
        </w:rPr>
        <w:t xml:space="preserve">   1</w:t>
      </w:r>
      <w:r>
        <w:rPr>
          <w:sz w:val="21"/>
          <w:szCs w:val="21"/>
        </w:rPr>
        <w:t xml:space="preserve">瓶  </w:t>
      </w:r>
    </w:p>
    <w:p w14:paraId="1506ADF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bCs/>
          <w:color w:val="auto"/>
          <w:sz w:val="21"/>
          <w:szCs w:val="21"/>
          <w:lang w:eastAsia="zh-CN"/>
        </w:rPr>
      </w:pPr>
    </w:p>
    <w:p w14:paraId="66A0E8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体检彩超技术参数及配置</w:t>
      </w:r>
    </w:p>
    <w:p w14:paraId="451E8C1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 主机成像系统要求</w:t>
      </w:r>
    </w:p>
    <w:p w14:paraId="0623035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高分辨率彩色医用显示器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具备；≥21英寸，无闪烁，不间断逐行扫描，可上下左右旋转。操作面板灵敏，防反光，直接点击医用显示器触摸屏调节参数，操作面板可上下左右进行高度调整及旋转</w:t>
      </w:r>
    </w:p>
    <w:p w14:paraId="125E34E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数字波束形成器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FC4D33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多倍信号并行处理技术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744754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数字化全程动态聚焦</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6B831AA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数字化可变孔径及动态变迹技术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DBDA64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数字化二维灰阶成像及M型显像单元</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1A26F46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解剖M型技术≥3条取样线，可360度任意旋转M型取样线角度方便准确的进行测量。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96D73C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脉冲反向谐波成像单元</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EA8C02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1.9.</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彩色多普勒成像技术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1E405B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1.10.</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彩色多普勒能量图技术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≥3条；</w:t>
      </w:r>
    </w:p>
    <w:p w14:paraId="173069C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方向性能量图技术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F440D4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数字化频谱多普勒显示和分析单元(包括PW、CW和HPRF)</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6AD576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智能化一键图像优化技术，可自适应调整图像的增益等参数获取最佳图像，具备独立按键。</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5FE799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空间复合成像技术，支持梯形成像模式，支持彩色多普勒模式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52AD331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斑点噪声抑制技术，改善边界显示，提高分辨率，可分级调节≥6级</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A81724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阴超探头具备实时温控技术，屏幕上可实时显示探头表面温度数值及患者体内粘膜温度数值。</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D80731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高清成像技术，整场图像锐化处理，提高组织内部分辨率和边界锐化显示，独立分级调节≥5级</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DCFE51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实时双同步/三同步功能</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EEF250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1.19.</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支持局部放大、一键全屏放大</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C87A42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1.20.</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内置DICOM3.0标准输出接口</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EC952C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支持同品牌工作站</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F7138F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具有WIFI无线数据传输功能，通过移动终端中的应用软件，扫码超声设备快速建立连接，可将临床图像从超声设备实时传输到移动智能终端同步共享；可将超声设备中存储的图像共享至移动终端的相册中。</w:t>
      </w:r>
    </w:p>
    <w:p w14:paraId="51B5074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具备；</w:t>
      </w:r>
    </w:p>
    <w:p w14:paraId="32EB590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工作流协议</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具备；支持工作流协议自定义设置，根据预设流程可自动添加注释、体标及自动激活测量等，同时结合教学系统，帮助操作者顺利完成检查工作；</w:t>
      </w:r>
    </w:p>
    <w:p w14:paraId="327C777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1.24.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支持图像秒传功能，支持将临床图像从超声设备一键上传至PC端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1EAFDF1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成像技术要求</w:t>
      </w:r>
    </w:p>
    <w:p w14:paraId="778E096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超宽视野成像扫描技术要求</w:t>
      </w:r>
    </w:p>
    <w:p w14:paraId="5A58197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扫查长度： ≥80cm；</w:t>
      </w:r>
    </w:p>
    <w:p w14:paraId="2E321C8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支持测量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3AF41C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支持一键全屏放大功能</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AB0005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线阵探头、凸阵探头和相控阵探头均支持宽景成像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E5C23F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支持彩色多普勒、能量多普勒（CFM和PDI）实时宽景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604236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2.1.6.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宽景图像拼接处会实时显示探头移动速度提示框，屏幕实时显示速度提示语</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1EA87DD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具有甲状腺智能扫查技术，自动识别甲状腺结节，并对病灶进行自动描记、测量、超声诊断描述等分析。</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15008B6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肌骨智能扫查技术</w:t>
      </w:r>
    </w:p>
    <w:p w14:paraId="2708E0A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2.3.1.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肌骨实时扫描模式下，可自动获取肌骨标准切面并对切面进行组织识别和注释,辅助临床医生快速找出肩关节切面≥10个（提供功能界面截图证明）。</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16E61F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2.3.2.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支持肌骨示教系统，提示医生如何打出肩关节切面</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0C0D2A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具有内置超声教学软件，提供解剖示意图、标准超声图像、扫查手法图和操作者实时检查图像，指导操作者进行标准切面的正确扫查，包含肝脏、心脏、乳腺、甲状腺、肾脏、脾脏、子宫等切面。</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B834AA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2.5.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扩展成像技术</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具备，支持凸阵/微凸阵/线阵探头，扩展角度最大≥30°，≥2级可调组织多普勒技术(TDI)，具有彩色，PW，M型多种模式；</w:t>
      </w:r>
    </w:p>
    <w:p w14:paraId="41F0C4F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测量和分析要求；(B型、M型、D型、彩色模式)</w:t>
      </w:r>
    </w:p>
    <w:p w14:paraId="6997823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常规测量软件包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5B43BDA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基础测量包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具备，2B模式下支持双幅跨幅测量；</w:t>
      </w:r>
    </w:p>
    <w:p w14:paraId="170691B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剖面血流，彩色多普勒模式下无需激活频谱即可测量血管截面瞬时的血流量，显示最大速度、平均速度、深度、血流量，补偿角度可调</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46957E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定点测速功能</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具备，彩色多普勒模式下可同屏测量血管腔内≥7个任意位置的血流速度；</w:t>
      </w:r>
    </w:p>
    <w:p w14:paraId="3679410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频谱自动测量分析软件，用户可自由配置显示的参数</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C9AAAC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专科测量软件包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具备，支持腹部、妇科、产科、心脏、泌尿、小器官、儿科、血管，自动生成报告。</w:t>
      </w:r>
    </w:p>
    <w:p w14:paraId="5276C8F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妇科测量软件包</w:t>
      </w:r>
    </w:p>
    <w:p w14:paraId="2D15B14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可测量盆底、子宫、子宫动脉、卵巢、卵泡等，并自动生成报告</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6393F21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子宫内膜厚度自动测量，自动识别子宫内膜并对内膜厚度进行自动测量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B71521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二维卵泡自动测量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94E9D0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产科测量软件包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具备，≥4胞胎对比测量分析，支持NT自动测量，胎儿生长曲线显示、胎儿解剖结构描述、胎儿生理评分；</w:t>
      </w:r>
    </w:p>
    <w:p w14:paraId="1A921EA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心脏测量软件包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具备，心肌功能指数，支持心内膜自动描迹；</w:t>
      </w:r>
    </w:p>
    <w:p w14:paraId="7E6ADD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腹部测量软件包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具备，支持膀胱自动测量；</w:t>
      </w:r>
    </w:p>
    <w:p w14:paraId="55516D3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小器官测量软件包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具备，包含乳腺测量包；</w:t>
      </w:r>
    </w:p>
    <w:p w14:paraId="6622DA4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3.7.8.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血管测量软件包</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具备；IMT血管内中膜自动测量，具备前、后壁同屏独立测量显示；</w:t>
      </w:r>
    </w:p>
    <w:p w14:paraId="3CD982D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图像存储(电影)回放重显及病案管理单元要求</w:t>
      </w:r>
    </w:p>
    <w:p w14:paraId="352AC71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数字化捕捉、回放、存储静、动态图像，实时图像传输</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63FEEE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硬盘≥1600G，图像存储，电影回放重现单元≥2000帧</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80D12C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具备主机硬盘图像数据存储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4DC3B9C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病案管理单元包括病人资料、报告、图像等的存储、修改、检索和打印等</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350553C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支持不同探头6幅图像同屏动态回放，回放速度可调；</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A8D2A3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4.6.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连通性</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具备；医学数字图像和通信DICOM3.0版接口部件。</w:t>
      </w:r>
    </w:p>
    <w:p w14:paraId="692D1FA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系统技术参数及要求</w:t>
      </w:r>
    </w:p>
    <w:p w14:paraId="2A8608D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系统通用功能</w:t>
      </w:r>
    </w:p>
    <w:p w14:paraId="6F62EB7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5.1.1.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操作面板</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具备，角度可调，医用显示器触摸屏≥13英寸，可通过手指点击触摸屏进行翻页，直接点击触摸屏即可选择需要调节的参数，操作面板可上下左右进行高度调整及旋转。</w:t>
      </w:r>
    </w:p>
    <w:p w14:paraId="3B20C65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5.1.2.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主机探头接口</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具备，≥5个，大小一致，另具备笔式探头接口。</w:t>
      </w:r>
    </w:p>
    <w:p w14:paraId="05284EC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5.1.3.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预设条件</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针对不同的检查脏器，预置最佳化图像的检查条件，减少操作时的调节；</w:t>
      </w:r>
    </w:p>
    <w:p w14:paraId="06730A3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探头规格要求</w:t>
      </w:r>
    </w:p>
    <w:p w14:paraId="20AB796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支持普通探头类型包括；凸阵、相控阵、线阵、腔内、容积探头等；</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5F88BFC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频率范围： 超宽频带探头，1MHz-17MHz；</w:t>
      </w:r>
    </w:p>
    <w:p w14:paraId="3C93FDE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二维、彩色、多普勒均可独立变频；</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9758F3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单晶体探头</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≥2种；</w:t>
      </w:r>
    </w:p>
    <w:p w14:paraId="554858B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单晶腹部凸阵探头 ：1.0-7.5MHz；</w:t>
      </w:r>
    </w:p>
    <w:p w14:paraId="4D3164A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线阵探头：（3.0-16.0MHz）（提供技术白皮书复印件证明）</w:t>
      </w:r>
    </w:p>
    <w:p w14:paraId="590FBFB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腔内探头 ：（3-13MHz），不使用扩展成像技术情况下角度≥190°，扩展成像后角度≥205°（提供扩展前后证明图片）；</w:t>
      </w:r>
    </w:p>
    <w:p w14:paraId="1829B3F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5.2.8.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单晶心脏相控阵探头： 1.0-7.0MHz；</w:t>
      </w:r>
    </w:p>
    <w:p w14:paraId="5E98F33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二维显像主要参数</w:t>
      </w:r>
    </w:p>
    <w:p w14:paraId="20B946C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成像速度 ：相控阵探头：≥88°角，≥18CM深度时，帧速度≥55帧/秒；</w:t>
      </w:r>
    </w:p>
    <w:p w14:paraId="7F1014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增益调节： TGC增益补偿：≥8段，LGC侧向增益补偿≥6段，B/M可独立调节。</w:t>
      </w:r>
    </w:p>
    <w:p w14:paraId="33D3263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数字式声束形成器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数字式全程动态聚焦，数字式可变孔径及动态变迹。</w:t>
      </w:r>
    </w:p>
    <w:p w14:paraId="280C81A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A/D： ≥14bit</w:t>
      </w:r>
    </w:p>
    <w:p w14:paraId="3DC56F6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焦点个数 ：≥10个</w:t>
      </w:r>
    </w:p>
    <w:p w14:paraId="4DDE411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接收方式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独立接收和发射通道数，多倍信号并行处理</w:t>
      </w:r>
    </w:p>
    <w:p w14:paraId="4187C8C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显示深度 ：≥39cm</w:t>
      </w:r>
    </w:p>
    <w:p w14:paraId="0FCC890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二维灰阶成像 ：≥256灰阶</w:t>
      </w:r>
    </w:p>
    <w:p w14:paraId="2FB8FF2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5.3.9.</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灰阶图谱 ：≥13级可调</w:t>
      </w:r>
    </w:p>
    <w:p w14:paraId="727A30F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5.3.10.</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组织特性匹配，用户可根据人体组织真实情况进行调节，25级可调，匹配至最佳成像声速，并以具体数值在触摸屏上显示。</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6CCEB40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5.3.11.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动态范围： ≥270，可视可调；</w:t>
      </w:r>
    </w:p>
    <w:p w14:paraId="03BA6B9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频谱多普勒要求</w:t>
      </w:r>
    </w:p>
    <w:p w14:paraId="141DA5B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最大测量速度</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PWD正或反向血流速度：≥10.0m/s；</w:t>
      </w:r>
    </w:p>
    <w:p w14:paraId="4D2F97D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CWD：血流速度28.0m/s；</w:t>
      </w:r>
    </w:p>
    <w:p w14:paraId="282A857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最低测量速度</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≤0.9mm/s(非噪音信号)；</w:t>
      </w:r>
    </w:p>
    <w:p w14:paraId="66ABAC6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滤波器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可分级选择，≥14级可调；</w:t>
      </w:r>
    </w:p>
    <w:p w14:paraId="4E6FBE2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取样宽度及位置范围宽度0.5mm至20mm多级可调；</w:t>
      </w:r>
    </w:p>
    <w:p w14:paraId="722D9FF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 零位移动 ：≥15级；</w:t>
      </w:r>
    </w:p>
    <w:p w14:paraId="6FF6749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5.4.6.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实时自动包络频谱并完成频谱测量计算</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0F4642D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彩色多普勒</w:t>
      </w:r>
    </w:p>
    <w:p w14:paraId="3013E2C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显示方式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速度图(CFM)、能量图(PDI)、方向性能量图（DPDI）；</w:t>
      </w:r>
    </w:p>
    <w:p w14:paraId="52F674A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扫描速率： 具备，相控阵探头，≥88°角，≥18cm深度时，彩色扫描帧率≥19帧/秒；</w:t>
      </w:r>
    </w:p>
    <w:p w14:paraId="38AE3D2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彩色增强功能</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彩色多普勒能量图(PDI)；组织多普勒(TDI)；</w:t>
      </w:r>
    </w:p>
    <w:p w14:paraId="2F415BD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彩色双实时功能</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4E4840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显示位置调整，线阵扫描感兴趣的图像范围：-18°～+18°；</w:t>
      </w:r>
    </w:p>
    <w:p w14:paraId="0F1DB70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彩色频谱自动反转</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当调节彩色取样框从一侧偏转向另一侧时，系统可自动触发反转功能，保证偏转调节过程中，血管内血流颜色不变；</w:t>
      </w:r>
    </w:p>
    <w:p w14:paraId="2C06B0B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高分辨率血流成像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具备；提供高空间分辨率和时间分辨率的彩色血流图象，更细微的显示末梢血流的动态情况，机器具备独立按键；</w:t>
      </w:r>
    </w:p>
    <w:p w14:paraId="5090A1B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5.5.8.</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微细血流成像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具备；经过创新的技术有效滤除软组织和噪声信号，最大限度保留超低速微细血流的信号，显著提升超微细血流信号的敏感性和成束性，机器具备独立按键；</w:t>
      </w:r>
    </w:p>
    <w:p w14:paraId="0032015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5.5.9.</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立体血流成像</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通过光照模型，能够在传统二维血流成像CFM的基础上，增加血流的立体感呈现，其显示方式接近人眼所视的立体效果，使血流的视觉感受更真实。可与能量血流、高分辨率血流、微细血流联用，增强微小血流的显示效果。机器具备独立按键；</w:t>
      </w:r>
    </w:p>
    <w:p w14:paraId="4FFAD5D1">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5.6.</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超声功率输出调节</w:t>
      </w:r>
    </w:p>
    <w:p w14:paraId="7D164C2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5.6.1.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 xml:space="preserve"> B、M、PWD、CFM</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1A3508C7">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5.6.2.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输出功率选择独立分级可调</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25D3851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记录装置</w:t>
      </w:r>
    </w:p>
    <w:p w14:paraId="54C01BA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一体化超声工作站</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具备；数字化储存静态及动态图像，动态图像及静态图像以AVI、WMV、TIF、BMP或JPG等PC通用格式直接储存；</w:t>
      </w:r>
    </w:p>
    <w:p w14:paraId="5880888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DVD-RW或USB图像存储</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70DB129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内置USB接口</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≥5个，用于图像传输；</w:t>
      </w:r>
    </w:p>
    <w:p w14:paraId="3F3FFB2A">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支持主机一体化耦合剂加热器具备；</w:t>
      </w:r>
    </w:p>
    <w:p w14:paraId="06BF74C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5.7.5.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支持脚踏开关</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具备；</w:t>
      </w:r>
    </w:p>
    <w:p w14:paraId="013759BD">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6.</w:t>
      </w:r>
      <w:r>
        <w:rPr>
          <w:rFonts w:hint="eastAsia" w:asciiTheme="minorEastAsia" w:hAnsiTheme="minorEastAsia" w:cstheme="minorEastAsia"/>
          <w:b/>
          <w:bCs/>
          <w:color w:val="auto"/>
          <w:sz w:val="21"/>
          <w:szCs w:val="21"/>
          <w:lang w:val="en-US" w:eastAsia="zh-CN"/>
        </w:rPr>
        <w:tab/>
      </w:r>
      <w:r>
        <w:rPr>
          <w:rFonts w:hint="eastAsia" w:asciiTheme="minorEastAsia" w:hAnsiTheme="minorEastAsia" w:cstheme="minorEastAsia"/>
          <w:b/>
          <w:bCs/>
          <w:color w:val="auto"/>
          <w:sz w:val="21"/>
          <w:szCs w:val="21"/>
          <w:lang w:val="en-US" w:eastAsia="zh-CN"/>
        </w:rPr>
        <w:t>配置要求（至少包含以下配置）</w:t>
      </w:r>
    </w:p>
    <w:p w14:paraId="5E190D55">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6.1.</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主机</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1台；</w:t>
      </w:r>
    </w:p>
    <w:p w14:paraId="645C7E1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6.2.</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软件</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1套；</w:t>
      </w:r>
    </w:p>
    <w:p w14:paraId="587AB84C">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6.3.</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单晶腹部凸阵探头</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1个；</w:t>
      </w:r>
    </w:p>
    <w:p w14:paraId="472978D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6.4.</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线阵探头</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1个；</w:t>
      </w:r>
    </w:p>
    <w:p w14:paraId="4E8FE84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6.5.</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腔内探头</w:t>
      </w:r>
      <w:r>
        <w:rPr>
          <w:rFonts w:hint="eastAsia" w:asciiTheme="minorEastAsia" w:hAnsiTheme="minorEastAsia" w:cstheme="minorEastAsia"/>
          <w:b w:val="0"/>
          <w:bCs w:val="0"/>
          <w:color w:val="auto"/>
          <w:sz w:val="21"/>
          <w:szCs w:val="21"/>
          <w:lang w:val="en-US" w:eastAsia="zh-CN"/>
        </w:rPr>
        <w:tab/>
      </w:r>
      <w:r>
        <w:rPr>
          <w:rFonts w:hint="eastAsia" w:asciiTheme="minorEastAsia" w:hAnsiTheme="minorEastAsia" w:cstheme="minorEastAsia"/>
          <w:b w:val="0"/>
          <w:bCs w:val="0"/>
          <w:color w:val="auto"/>
          <w:sz w:val="21"/>
          <w:szCs w:val="21"/>
          <w:lang w:val="en-US" w:eastAsia="zh-CN"/>
        </w:rPr>
        <w:t>1个；</w:t>
      </w:r>
    </w:p>
    <w:p w14:paraId="152DFD96">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6.6.   单晶心脏探头 1个。</w:t>
      </w:r>
    </w:p>
    <w:p w14:paraId="75A20761">
      <w:pPr>
        <w:rPr>
          <w:rFonts w:hint="eastAsia" w:asciiTheme="minorEastAsia" w:hAnsiTheme="minorEastAsia" w:eastAsiaTheme="minorEastAsia" w:cstheme="minorEastAsia"/>
          <w:b w:val="0"/>
          <w:bCs w:val="0"/>
          <w:sz w:val="21"/>
          <w:szCs w:val="21"/>
          <w:lang w:val="en-US" w:eastAsia="zh-CN"/>
        </w:rPr>
      </w:pPr>
    </w:p>
    <w:p w14:paraId="2ACA9572">
      <w:pPr>
        <w:rPr>
          <w:rFonts w:hint="eastAsia" w:asciiTheme="minorEastAsia" w:hAnsiTheme="minorEastAsia" w:eastAsiaTheme="minorEastAsia" w:cstheme="minorEastAsia"/>
          <w:sz w:val="21"/>
          <w:szCs w:val="21"/>
          <w:lang w:val="en-US" w:eastAsia="zh-CN"/>
        </w:rPr>
      </w:pPr>
    </w:p>
    <w:p w14:paraId="05E92B63">
      <w:pPr>
        <w:rPr>
          <w:rFonts w:hint="eastAsia" w:asciiTheme="minorEastAsia" w:hAnsiTheme="minorEastAsia" w:eastAsiaTheme="minorEastAsia" w:cstheme="minorEastAsia"/>
          <w:sz w:val="21"/>
          <w:szCs w:val="21"/>
          <w:lang w:val="en-US" w:eastAsia="zh-CN"/>
        </w:rPr>
      </w:pPr>
    </w:p>
    <w:p w14:paraId="34EF21BA">
      <w:pPr>
        <w:rPr>
          <w:rFonts w:hint="default"/>
          <w:sz w:val="21"/>
          <w:szCs w:val="21"/>
          <w:lang w:val="en-US" w:eastAsia="zh-CN"/>
        </w:rPr>
      </w:pPr>
    </w:p>
    <w:p w14:paraId="0363ED84">
      <w:pPr>
        <w:rPr>
          <w:rFonts w:hint="default"/>
          <w:sz w:val="21"/>
          <w:szCs w:val="21"/>
          <w:lang w:val="en-US" w:eastAsia="zh-CN"/>
        </w:rPr>
      </w:pPr>
    </w:p>
    <w:p w14:paraId="66B77D96"/>
    <w:p w14:paraId="44E9DF0D">
      <w:pPr>
        <w:pStyle w:val="9"/>
        <w:ind w:left="0" w:leftChars="0" w:firstLine="0" w:firstLineChars="0"/>
        <w:rPr>
          <w:rFonts w:hint="eastAsia"/>
          <w:color w:val="auto"/>
          <w:sz w:val="24"/>
          <w:szCs w:val="24"/>
          <w:lang w:eastAsia="zh-CN"/>
        </w:rPr>
        <w:sectPr>
          <w:pgSz w:w="11906" w:h="16838"/>
          <w:pgMar w:top="850" w:right="1134" w:bottom="850" w:left="1134" w:header="851" w:footer="992" w:gutter="0"/>
          <w:cols w:space="425" w:num="1"/>
          <w:docGrid w:type="lines" w:linePitch="312" w:charSpace="0"/>
        </w:sectPr>
      </w:pPr>
    </w:p>
    <w:p w14:paraId="419FF356">
      <w:pPr>
        <w:pStyle w:val="9"/>
        <w:ind w:left="0" w:leftChars="0" w:firstLine="0" w:firstLineChars="0"/>
      </w:pPr>
    </w:p>
    <w:p w14:paraId="7265D5D0">
      <w:pPr>
        <w:ind w:left="-178" w:leftChars="-85" w:firstLine="1084" w:firstLineChars="452"/>
        <w:jc w:val="left"/>
        <w:rPr>
          <w:rFonts w:ascii="仿宋_GB2312" w:eastAsia="宋体"/>
          <w:sz w:val="24"/>
        </w:rPr>
      </w:pPr>
      <w:r>
        <w:rPr>
          <w:rFonts w:hint="eastAsia" w:ascii="仿宋_GB2312" w:eastAsia="宋体"/>
          <w:sz w:val="24"/>
        </w:rPr>
        <w:t>表1.调研询价表</w:t>
      </w:r>
    </w:p>
    <w:tbl>
      <w:tblPr>
        <w:tblStyle w:val="10"/>
        <w:tblW w:w="14400" w:type="dxa"/>
        <w:tblInd w:w="45" w:type="dxa"/>
        <w:tblLayout w:type="fixed"/>
        <w:tblCellMar>
          <w:top w:w="0" w:type="dxa"/>
          <w:left w:w="108" w:type="dxa"/>
          <w:bottom w:w="0" w:type="dxa"/>
          <w:right w:w="108" w:type="dxa"/>
        </w:tblCellMar>
      </w:tblPr>
      <w:tblGrid>
        <w:gridCol w:w="2255"/>
        <w:gridCol w:w="1747"/>
        <w:gridCol w:w="1605"/>
        <w:gridCol w:w="4365"/>
        <w:gridCol w:w="2010"/>
        <w:gridCol w:w="2418"/>
      </w:tblGrid>
      <w:tr w14:paraId="452F34BE">
        <w:tblPrEx>
          <w:tblCellMar>
            <w:top w:w="0" w:type="dxa"/>
            <w:left w:w="108" w:type="dxa"/>
            <w:bottom w:w="0" w:type="dxa"/>
            <w:right w:w="108" w:type="dxa"/>
          </w:tblCellMar>
        </w:tblPrEx>
        <w:trPr>
          <w:trHeight w:val="1335" w:hRule="atLeast"/>
        </w:trPr>
        <w:tc>
          <w:tcPr>
            <w:tcW w:w="2255" w:type="dxa"/>
            <w:tcBorders>
              <w:top w:val="single" w:color="auto" w:sz="4" w:space="0"/>
              <w:left w:val="single" w:color="auto" w:sz="4" w:space="0"/>
              <w:bottom w:val="single" w:color="auto" w:sz="4" w:space="0"/>
              <w:right w:val="single" w:color="auto" w:sz="4" w:space="0"/>
            </w:tcBorders>
            <w:noWrap/>
            <w:vAlign w:val="center"/>
          </w:tcPr>
          <w:p w14:paraId="0DCF6D83">
            <w:pPr>
              <w:widowControl/>
              <w:jc w:val="left"/>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14:paraId="12C0CBF8">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14:paraId="603140EC">
            <w:pPr>
              <w:widowControl/>
              <w:jc w:val="left"/>
              <w:rPr>
                <w:rFonts w:ascii="宋体" w:hAnsi="宋体" w:cs="宋体"/>
                <w:kern w:val="0"/>
                <w:sz w:val="24"/>
              </w:rPr>
            </w:pPr>
            <w:r>
              <w:rPr>
                <w:rFonts w:hint="eastAsia" w:ascii="宋体" w:hAnsi="宋体" w:cs="宋体"/>
                <w:kern w:val="0"/>
                <w:sz w:val="24"/>
              </w:rPr>
              <w:t>价 格（总价）</w:t>
            </w:r>
          </w:p>
        </w:tc>
        <w:tc>
          <w:tcPr>
            <w:tcW w:w="4365" w:type="dxa"/>
            <w:tcBorders>
              <w:top w:val="single" w:color="auto" w:sz="4" w:space="0"/>
              <w:left w:val="nil"/>
              <w:bottom w:val="single" w:color="auto" w:sz="4" w:space="0"/>
              <w:right w:val="single" w:color="auto" w:sz="4" w:space="0"/>
            </w:tcBorders>
            <w:noWrap/>
            <w:vAlign w:val="center"/>
          </w:tcPr>
          <w:p w14:paraId="5FCB5DDD">
            <w:pPr>
              <w:widowControl/>
              <w:jc w:val="left"/>
              <w:rPr>
                <w:rFonts w:ascii="宋体" w:hAnsi="宋体" w:cs="宋体"/>
                <w:kern w:val="0"/>
                <w:sz w:val="24"/>
              </w:rPr>
            </w:pPr>
            <w:r>
              <w:rPr>
                <w:rFonts w:hint="eastAsia" w:ascii="宋体" w:hAnsi="宋体" w:cs="宋体"/>
                <w:kern w:val="0"/>
                <w:sz w:val="24"/>
              </w:rPr>
              <w:t>主要性能、特点（配置清单另附材料）</w:t>
            </w:r>
          </w:p>
        </w:tc>
        <w:tc>
          <w:tcPr>
            <w:tcW w:w="2010" w:type="dxa"/>
            <w:tcBorders>
              <w:top w:val="single" w:color="auto" w:sz="4" w:space="0"/>
              <w:left w:val="nil"/>
              <w:bottom w:val="single" w:color="auto" w:sz="4" w:space="0"/>
              <w:right w:val="single" w:color="auto" w:sz="4" w:space="0"/>
            </w:tcBorders>
            <w:noWrap/>
            <w:vAlign w:val="center"/>
          </w:tcPr>
          <w:p w14:paraId="35D900EC">
            <w:pPr>
              <w:widowControl/>
              <w:ind w:left="279" w:leftChars="133" w:firstLine="0" w:firstLineChars="0"/>
              <w:jc w:val="left"/>
              <w:rPr>
                <w:rFonts w:ascii="宋体" w:hAnsi="宋体" w:eastAsia="宋体" w:cs="宋体"/>
                <w:kern w:val="0"/>
                <w:sz w:val="24"/>
              </w:rPr>
            </w:pPr>
            <w:r>
              <w:rPr>
                <w:rFonts w:hint="eastAsia" w:ascii="宋体" w:hAnsi="宋体" w:eastAsia="宋体" w:cs="宋体"/>
                <w:b/>
                <w:bCs/>
                <w:kern w:val="0"/>
                <w:sz w:val="28"/>
                <w:szCs w:val="28"/>
              </w:rPr>
              <w:t>原厂质保</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rPr>
              <w:t>（≥</w:t>
            </w: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rPr>
              <w:t>年</w:t>
            </w:r>
            <w:r>
              <w:rPr>
                <w:rFonts w:hint="eastAsia" w:ascii="宋体" w:hAnsi="宋体" w:cs="宋体"/>
                <w:b/>
                <w:bCs/>
                <w:kern w:val="0"/>
                <w:sz w:val="28"/>
                <w:szCs w:val="28"/>
              </w:rPr>
              <w:t>）</w:t>
            </w:r>
          </w:p>
        </w:tc>
        <w:tc>
          <w:tcPr>
            <w:tcW w:w="2418" w:type="dxa"/>
            <w:tcBorders>
              <w:top w:val="single" w:color="auto" w:sz="4" w:space="0"/>
              <w:left w:val="nil"/>
              <w:bottom w:val="single" w:color="auto" w:sz="4" w:space="0"/>
              <w:right w:val="single" w:color="auto" w:sz="4" w:space="0"/>
            </w:tcBorders>
            <w:noWrap/>
            <w:vAlign w:val="center"/>
          </w:tcPr>
          <w:p w14:paraId="2C1639B6">
            <w:pPr>
              <w:widowControl/>
              <w:jc w:val="left"/>
              <w:rPr>
                <w:rFonts w:ascii="宋体" w:hAnsi="宋体" w:eastAsia="宋体" w:cs="宋体"/>
                <w:kern w:val="0"/>
                <w:sz w:val="24"/>
              </w:rPr>
            </w:pPr>
            <w:r>
              <w:rPr>
                <w:rFonts w:hint="eastAsia" w:ascii="宋体" w:hAnsi="宋体" w:eastAsia="宋体"/>
                <w:szCs w:val="21"/>
              </w:rPr>
              <w:t>用户名单</w:t>
            </w:r>
          </w:p>
        </w:tc>
      </w:tr>
      <w:tr w14:paraId="2E06CCF5">
        <w:tblPrEx>
          <w:tblCellMar>
            <w:top w:w="0" w:type="dxa"/>
            <w:left w:w="108" w:type="dxa"/>
            <w:bottom w:w="0" w:type="dxa"/>
            <w:right w:w="108" w:type="dxa"/>
          </w:tblCellMar>
        </w:tblPrEx>
        <w:trPr>
          <w:trHeight w:val="1290" w:hRule="atLeast"/>
        </w:trPr>
        <w:tc>
          <w:tcPr>
            <w:tcW w:w="2255" w:type="dxa"/>
            <w:tcBorders>
              <w:top w:val="nil"/>
              <w:left w:val="single" w:color="auto" w:sz="4" w:space="0"/>
              <w:bottom w:val="single" w:color="auto" w:sz="4" w:space="0"/>
              <w:right w:val="single" w:color="auto" w:sz="4" w:space="0"/>
            </w:tcBorders>
            <w:noWrap/>
            <w:vAlign w:val="bottom"/>
          </w:tcPr>
          <w:p w14:paraId="19836416">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722F453B">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4505F24C">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62D3901F">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6701B222">
            <w:pPr>
              <w:widowControl/>
              <w:jc w:val="left"/>
              <w:rPr>
                <w:rFonts w:ascii="宋体" w:hAnsi="宋体" w:cs="宋体"/>
                <w:kern w:val="0"/>
                <w:sz w:val="24"/>
              </w:rPr>
            </w:pPr>
          </w:p>
        </w:tc>
        <w:tc>
          <w:tcPr>
            <w:tcW w:w="2418" w:type="dxa"/>
            <w:tcBorders>
              <w:top w:val="nil"/>
              <w:left w:val="nil"/>
              <w:bottom w:val="single" w:color="auto" w:sz="4" w:space="0"/>
              <w:right w:val="single" w:color="auto" w:sz="4" w:space="0"/>
            </w:tcBorders>
            <w:noWrap/>
            <w:vAlign w:val="bottom"/>
          </w:tcPr>
          <w:p w14:paraId="71555814">
            <w:pPr>
              <w:widowControl/>
              <w:jc w:val="left"/>
              <w:rPr>
                <w:rFonts w:ascii="宋体" w:hAnsi="宋体" w:cs="宋体"/>
                <w:kern w:val="0"/>
                <w:sz w:val="24"/>
              </w:rPr>
            </w:pPr>
          </w:p>
        </w:tc>
      </w:tr>
      <w:tr w14:paraId="0D3D3634">
        <w:tblPrEx>
          <w:tblCellMar>
            <w:top w:w="0" w:type="dxa"/>
            <w:left w:w="108" w:type="dxa"/>
            <w:bottom w:w="0" w:type="dxa"/>
            <w:right w:w="108" w:type="dxa"/>
          </w:tblCellMar>
        </w:tblPrEx>
        <w:trPr>
          <w:trHeight w:val="1290" w:hRule="atLeast"/>
        </w:trPr>
        <w:tc>
          <w:tcPr>
            <w:tcW w:w="2255" w:type="dxa"/>
            <w:tcBorders>
              <w:top w:val="nil"/>
              <w:left w:val="single" w:color="auto" w:sz="4" w:space="0"/>
              <w:bottom w:val="single" w:color="auto" w:sz="4" w:space="0"/>
              <w:right w:val="single" w:color="auto" w:sz="4" w:space="0"/>
            </w:tcBorders>
            <w:noWrap/>
            <w:vAlign w:val="bottom"/>
          </w:tcPr>
          <w:p w14:paraId="5C207519">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0EB54A34">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66F095C6">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3EB1B233">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31658569">
            <w:pPr>
              <w:widowControl/>
              <w:jc w:val="left"/>
              <w:rPr>
                <w:rFonts w:ascii="宋体" w:hAnsi="宋体" w:cs="宋体"/>
                <w:kern w:val="0"/>
                <w:sz w:val="24"/>
              </w:rPr>
            </w:pPr>
          </w:p>
        </w:tc>
        <w:tc>
          <w:tcPr>
            <w:tcW w:w="2418" w:type="dxa"/>
            <w:tcBorders>
              <w:top w:val="nil"/>
              <w:left w:val="nil"/>
              <w:bottom w:val="single" w:color="auto" w:sz="4" w:space="0"/>
              <w:right w:val="single" w:color="auto" w:sz="4" w:space="0"/>
            </w:tcBorders>
            <w:noWrap/>
            <w:vAlign w:val="bottom"/>
          </w:tcPr>
          <w:p w14:paraId="1877A378">
            <w:pPr>
              <w:widowControl/>
              <w:jc w:val="left"/>
              <w:rPr>
                <w:rFonts w:ascii="宋体" w:hAnsi="宋体" w:cs="宋体"/>
                <w:kern w:val="0"/>
                <w:sz w:val="24"/>
              </w:rPr>
            </w:pPr>
          </w:p>
        </w:tc>
      </w:tr>
      <w:tr w14:paraId="61B78913">
        <w:tblPrEx>
          <w:tblCellMar>
            <w:top w:w="0" w:type="dxa"/>
            <w:left w:w="108" w:type="dxa"/>
            <w:bottom w:w="0" w:type="dxa"/>
            <w:right w:w="108" w:type="dxa"/>
          </w:tblCellMar>
        </w:tblPrEx>
        <w:trPr>
          <w:trHeight w:val="1290" w:hRule="atLeast"/>
        </w:trPr>
        <w:tc>
          <w:tcPr>
            <w:tcW w:w="2255" w:type="dxa"/>
            <w:tcBorders>
              <w:top w:val="nil"/>
              <w:left w:val="single" w:color="auto" w:sz="4" w:space="0"/>
              <w:bottom w:val="single" w:color="auto" w:sz="4" w:space="0"/>
              <w:right w:val="single" w:color="auto" w:sz="4" w:space="0"/>
            </w:tcBorders>
            <w:noWrap/>
            <w:vAlign w:val="bottom"/>
          </w:tcPr>
          <w:p w14:paraId="794E5CDD">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1B5FF80A">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3FCE0946">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4C6C3082">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5BED6BC7">
            <w:pPr>
              <w:widowControl/>
              <w:jc w:val="left"/>
              <w:rPr>
                <w:rFonts w:ascii="宋体" w:hAnsi="宋体" w:cs="宋体"/>
                <w:kern w:val="0"/>
                <w:sz w:val="24"/>
              </w:rPr>
            </w:pPr>
          </w:p>
        </w:tc>
        <w:tc>
          <w:tcPr>
            <w:tcW w:w="2418" w:type="dxa"/>
            <w:tcBorders>
              <w:top w:val="nil"/>
              <w:left w:val="nil"/>
              <w:bottom w:val="single" w:color="auto" w:sz="4" w:space="0"/>
              <w:right w:val="single" w:color="auto" w:sz="4" w:space="0"/>
            </w:tcBorders>
            <w:noWrap/>
            <w:vAlign w:val="bottom"/>
          </w:tcPr>
          <w:p w14:paraId="2A5840A9">
            <w:pPr>
              <w:widowControl/>
              <w:jc w:val="left"/>
              <w:rPr>
                <w:rFonts w:ascii="宋体" w:hAnsi="宋体" w:cs="宋体"/>
                <w:kern w:val="0"/>
                <w:sz w:val="24"/>
              </w:rPr>
            </w:pPr>
          </w:p>
        </w:tc>
      </w:tr>
      <w:tr w14:paraId="411DD179">
        <w:tblPrEx>
          <w:tblCellMar>
            <w:top w:w="0" w:type="dxa"/>
            <w:left w:w="108" w:type="dxa"/>
            <w:bottom w:w="0" w:type="dxa"/>
            <w:right w:w="108" w:type="dxa"/>
          </w:tblCellMar>
        </w:tblPrEx>
        <w:trPr>
          <w:trHeight w:val="1320" w:hRule="atLeast"/>
        </w:trPr>
        <w:tc>
          <w:tcPr>
            <w:tcW w:w="2255" w:type="dxa"/>
            <w:tcBorders>
              <w:top w:val="nil"/>
              <w:left w:val="single" w:color="auto" w:sz="4" w:space="0"/>
              <w:bottom w:val="single" w:color="auto" w:sz="4" w:space="0"/>
              <w:right w:val="single" w:color="auto" w:sz="4" w:space="0"/>
            </w:tcBorders>
            <w:noWrap/>
            <w:vAlign w:val="bottom"/>
          </w:tcPr>
          <w:p w14:paraId="179EE406">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14:paraId="64C6E460">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14:paraId="15A1B92A">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14:paraId="0C512B24">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14:paraId="61A9687B">
            <w:pPr>
              <w:widowControl/>
              <w:jc w:val="left"/>
              <w:rPr>
                <w:rFonts w:ascii="宋体" w:hAnsi="宋体" w:cs="宋体"/>
                <w:kern w:val="0"/>
                <w:sz w:val="24"/>
              </w:rPr>
            </w:pPr>
          </w:p>
        </w:tc>
        <w:tc>
          <w:tcPr>
            <w:tcW w:w="2418" w:type="dxa"/>
            <w:tcBorders>
              <w:top w:val="nil"/>
              <w:left w:val="nil"/>
              <w:bottom w:val="single" w:color="auto" w:sz="4" w:space="0"/>
              <w:right w:val="single" w:color="auto" w:sz="4" w:space="0"/>
            </w:tcBorders>
            <w:noWrap/>
            <w:vAlign w:val="bottom"/>
          </w:tcPr>
          <w:p w14:paraId="034BF342">
            <w:pPr>
              <w:widowControl/>
              <w:jc w:val="left"/>
              <w:rPr>
                <w:rFonts w:ascii="宋体" w:hAnsi="宋体" w:cs="宋体"/>
                <w:kern w:val="0"/>
                <w:sz w:val="24"/>
              </w:rPr>
            </w:pPr>
          </w:p>
        </w:tc>
      </w:tr>
    </w:tbl>
    <w:p w14:paraId="12C5140C">
      <w:pPr>
        <w:rPr>
          <w:sz w:val="28"/>
          <w:szCs w:val="28"/>
        </w:rPr>
      </w:pPr>
    </w:p>
    <w:p w14:paraId="51692A57">
      <w:pPr>
        <w:jc w:val="both"/>
        <w:rPr>
          <w:rFonts w:ascii="宋体" w:hAnsi="宋体"/>
          <w:b/>
          <w:sz w:val="36"/>
          <w:szCs w:val="36"/>
        </w:rPr>
      </w:pPr>
    </w:p>
    <w:p w14:paraId="7A4FC8D7">
      <w:pPr>
        <w:ind w:left="-178" w:leftChars="-85" w:firstLine="134" w:firstLineChars="56"/>
        <w:rPr>
          <w:rFonts w:ascii="仿宋_GB2312" w:eastAsia="仿宋_GB2312"/>
          <w:sz w:val="24"/>
        </w:rPr>
      </w:pPr>
    </w:p>
    <w:p w14:paraId="58E0864C">
      <w:pPr>
        <w:ind w:left="-178" w:leftChars="-85" w:firstLine="134" w:firstLineChars="56"/>
        <w:rPr>
          <w:rFonts w:ascii="仿宋_GB2312" w:eastAsia="宋体"/>
          <w:sz w:val="24"/>
        </w:rPr>
      </w:pPr>
      <w:r>
        <w:rPr>
          <w:rFonts w:hint="eastAsia" w:ascii="仿宋_GB2312" w:eastAsia="宋体"/>
          <w:sz w:val="24"/>
        </w:rPr>
        <w:t>表2.相关试剂/耗材（不够可另附页）</w:t>
      </w:r>
    </w:p>
    <w:tbl>
      <w:tblPr>
        <w:tblStyle w:val="10"/>
        <w:tblW w:w="15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0"/>
        <w:gridCol w:w="1275"/>
        <w:gridCol w:w="795"/>
        <w:gridCol w:w="748"/>
        <w:gridCol w:w="990"/>
        <w:gridCol w:w="1635"/>
        <w:gridCol w:w="1605"/>
        <w:gridCol w:w="1547"/>
        <w:gridCol w:w="1590"/>
        <w:gridCol w:w="1386"/>
        <w:gridCol w:w="1092"/>
      </w:tblGrid>
      <w:tr w14:paraId="603F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98" w:type="dxa"/>
            <w:noWrap/>
            <w:vAlign w:val="center"/>
          </w:tcPr>
          <w:p w14:paraId="0451B7BE">
            <w:pPr>
              <w:ind w:left="-178" w:leftChars="-85" w:firstLine="134" w:firstLineChars="56"/>
              <w:jc w:val="center"/>
              <w:rPr>
                <w:rFonts w:ascii="仿宋_GB2312" w:eastAsia="宋体"/>
                <w:sz w:val="24"/>
              </w:rPr>
            </w:pPr>
            <w:r>
              <w:rPr>
                <w:rFonts w:hint="eastAsia" w:ascii="仿宋_GB2312" w:eastAsia="宋体"/>
                <w:sz w:val="24"/>
              </w:rPr>
              <w:t>品名</w:t>
            </w:r>
          </w:p>
        </w:tc>
        <w:tc>
          <w:tcPr>
            <w:tcW w:w="1380" w:type="dxa"/>
            <w:noWrap/>
            <w:vAlign w:val="center"/>
          </w:tcPr>
          <w:p w14:paraId="344116CC">
            <w:pPr>
              <w:ind w:left="-178" w:leftChars="-85" w:firstLine="134" w:firstLineChars="56"/>
              <w:jc w:val="center"/>
              <w:rPr>
                <w:rFonts w:ascii="仿宋_GB2312" w:eastAsia="宋体"/>
                <w:sz w:val="24"/>
              </w:rPr>
            </w:pPr>
            <w:r>
              <w:rPr>
                <w:rFonts w:hint="eastAsia" w:ascii="仿宋_GB2312" w:eastAsia="宋体"/>
                <w:sz w:val="24"/>
              </w:rPr>
              <w:t>型号规格</w:t>
            </w:r>
          </w:p>
        </w:tc>
        <w:tc>
          <w:tcPr>
            <w:tcW w:w="1275" w:type="dxa"/>
            <w:noWrap/>
            <w:vAlign w:val="center"/>
          </w:tcPr>
          <w:p w14:paraId="12D85E7F">
            <w:pPr>
              <w:ind w:left="-178" w:leftChars="-85" w:firstLine="134" w:firstLineChars="56"/>
              <w:jc w:val="center"/>
              <w:rPr>
                <w:rFonts w:ascii="仿宋_GB2312" w:eastAsia="宋体"/>
                <w:sz w:val="24"/>
              </w:rPr>
            </w:pPr>
            <w:r>
              <w:rPr>
                <w:rFonts w:hint="eastAsia" w:ascii="仿宋_GB2312" w:eastAsia="宋体"/>
                <w:sz w:val="24"/>
              </w:rPr>
              <w:t>生产商</w:t>
            </w:r>
          </w:p>
        </w:tc>
        <w:tc>
          <w:tcPr>
            <w:tcW w:w="795" w:type="dxa"/>
            <w:noWrap/>
            <w:vAlign w:val="center"/>
          </w:tcPr>
          <w:p w14:paraId="30DF0DD6">
            <w:pPr>
              <w:ind w:left="-178" w:leftChars="-85" w:firstLine="134" w:firstLineChars="56"/>
              <w:jc w:val="center"/>
              <w:rPr>
                <w:rFonts w:ascii="仿宋_GB2312" w:eastAsia="宋体"/>
                <w:sz w:val="24"/>
              </w:rPr>
            </w:pPr>
            <w:r>
              <w:rPr>
                <w:rFonts w:hint="eastAsia" w:ascii="仿宋_GB2312" w:eastAsia="宋体"/>
                <w:sz w:val="24"/>
              </w:rPr>
              <w:t>单位</w:t>
            </w:r>
          </w:p>
        </w:tc>
        <w:tc>
          <w:tcPr>
            <w:tcW w:w="748" w:type="dxa"/>
            <w:noWrap/>
            <w:vAlign w:val="center"/>
          </w:tcPr>
          <w:p w14:paraId="2F44B12F">
            <w:pPr>
              <w:ind w:left="-178" w:leftChars="-85" w:firstLine="134" w:firstLineChars="56"/>
              <w:jc w:val="center"/>
              <w:rPr>
                <w:rFonts w:ascii="仿宋_GB2312" w:eastAsia="宋体"/>
                <w:sz w:val="24"/>
              </w:rPr>
            </w:pPr>
            <w:r>
              <w:rPr>
                <w:rFonts w:hint="eastAsia" w:ascii="仿宋_GB2312" w:eastAsia="宋体"/>
                <w:sz w:val="24"/>
              </w:rPr>
              <w:t>报价</w:t>
            </w:r>
          </w:p>
        </w:tc>
        <w:tc>
          <w:tcPr>
            <w:tcW w:w="990" w:type="dxa"/>
            <w:noWrap/>
            <w:vAlign w:val="center"/>
          </w:tcPr>
          <w:p w14:paraId="301AE64B">
            <w:pPr>
              <w:ind w:left="-178" w:leftChars="-85" w:firstLine="134" w:firstLineChars="56"/>
              <w:jc w:val="center"/>
              <w:rPr>
                <w:rFonts w:ascii="仿宋_GB2312" w:eastAsia="宋体"/>
                <w:sz w:val="24"/>
              </w:rPr>
            </w:pPr>
            <w:r>
              <w:rPr>
                <w:rFonts w:hint="eastAsia" w:ascii="仿宋_GB2312" w:eastAsia="宋体"/>
                <w:sz w:val="24"/>
              </w:rPr>
              <w:t>供应价</w:t>
            </w:r>
          </w:p>
        </w:tc>
        <w:tc>
          <w:tcPr>
            <w:tcW w:w="1635" w:type="dxa"/>
            <w:noWrap/>
            <w:vAlign w:val="center"/>
          </w:tcPr>
          <w:p w14:paraId="28109530">
            <w:pPr>
              <w:ind w:left="-178" w:leftChars="-85" w:firstLine="134" w:firstLineChars="56"/>
              <w:jc w:val="center"/>
              <w:rPr>
                <w:rFonts w:ascii="仿宋_GB2312" w:eastAsia="宋体"/>
                <w:sz w:val="24"/>
              </w:rPr>
            </w:pPr>
            <w:r>
              <w:rPr>
                <w:rFonts w:hint="eastAsia" w:ascii="仿宋_GB2312" w:eastAsia="宋体"/>
                <w:sz w:val="24"/>
              </w:rPr>
              <w:t>项目收费代码、收费标准</w:t>
            </w:r>
          </w:p>
        </w:tc>
        <w:tc>
          <w:tcPr>
            <w:tcW w:w="1605" w:type="dxa"/>
            <w:noWrap/>
            <w:vAlign w:val="center"/>
          </w:tcPr>
          <w:p w14:paraId="3AD9C872">
            <w:pPr>
              <w:ind w:left="-178" w:leftChars="-85" w:firstLine="134" w:firstLineChars="56"/>
              <w:jc w:val="center"/>
              <w:rPr>
                <w:rFonts w:ascii="仿宋_GB2312" w:eastAsia="宋体"/>
                <w:sz w:val="24"/>
              </w:rPr>
            </w:pPr>
            <w:r>
              <w:rPr>
                <w:rFonts w:hint="eastAsia" w:ascii="仿宋_GB2312" w:eastAsia="宋体"/>
                <w:sz w:val="24"/>
              </w:rPr>
              <w:t>耗材收费代码、收费标准</w:t>
            </w:r>
          </w:p>
        </w:tc>
        <w:tc>
          <w:tcPr>
            <w:tcW w:w="1547" w:type="dxa"/>
            <w:noWrap/>
            <w:vAlign w:val="center"/>
          </w:tcPr>
          <w:p w14:paraId="24C5D2F4">
            <w:pPr>
              <w:ind w:left="-178" w:leftChars="-85" w:firstLine="134" w:firstLineChars="56"/>
              <w:jc w:val="center"/>
              <w:rPr>
                <w:rFonts w:ascii="仿宋_GB2312" w:eastAsia="宋体"/>
                <w:sz w:val="24"/>
              </w:rPr>
            </w:pPr>
            <w:r>
              <w:rPr>
                <w:rFonts w:hint="eastAsia" w:ascii="仿宋_GB2312" w:eastAsia="宋体"/>
                <w:sz w:val="24"/>
              </w:rPr>
              <w:t>省平台中标编码</w:t>
            </w:r>
          </w:p>
        </w:tc>
        <w:tc>
          <w:tcPr>
            <w:tcW w:w="1590" w:type="dxa"/>
            <w:noWrap/>
            <w:vAlign w:val="center"/>
          </w:tcPr>
          <w:p w14:paraId="63F1411A">
            <w:pPr>
              <w:ind w:left="-178" w:leftChars="-85" w:firstLine="134" w:firstLineChars="56"/>
              <w:jc w:val="center"/>
              <w:rPr>
                <w:rFonts w:ascii="仿宋_GB2312" w:eastAsia="宋体"/>
                <w:sz w:val="24"/>
                <w:szCs w:val="24"/>
              </w:rPr>
            </w:pPr>
            <w:r>
              <w:rPr>
                <w:rFonts w:hint="eastAsia" w:ascii="仿宋_GB2312" w:eastAsia="宋体"/>
                <w:sz w:val="24"/>
              </w:rPr>
              <w:t>27位国家码</w:t>
            </w:r>
          </w:p>
        </w:tc>
        <w:tc>
          <w:tcPr>
            <w:tcW w:w="1386" w:type="dxa"/>
            <w:noWrap/>
            <w:vAlign w:val="center"/>
          </w:tcPr>
          <w:p w14:paraId="79B1F4E0">
            <w:pPr>
              <w:ind w:left="-178" w:leftChars="-85" w:firstLine="134" w:firstLineChars="56"/>
              <w:jc w:val="center"/>
              <w:rPr>
                <w:rFonts w:ascii="仿宋_GB2312" w:eastAsia="宋体"/>
                <w:sz w:val="24"/>
                <w:szCs w:val="24"/>
              </w:rPr>
            </w:pPr>
            <w:r>
              <w:rPr>
                <w:rFonts w:hint="eastAsia" w:ascii="仿宋_GB2312" w:eastAsia="宋体"/>
                <w:sz w:val="24"/>
              </w:rPr>
              <w:t>是否开放？有无其它品牌替代？</w:t>
            </w:r>
          </w:p>
        </w:tc>
        <w:tc>
          <w:tcPr>
            <w:tcW w:w="1092" w:type="dxa"/>
            <w:noWrap/>
            <w:vAlign w:val="center"/>
          </w:tcPr>
          <w:p w14:paraId="0F54C294">
            <w:pPr>
              <w:ind w:left="-178" w:leftChars="-85" w:firstLine="134" w:firstLineChars="56"/>
              <w:jc w:val="center"/>
              <w:rPr>
                <w:rFonts w:ascii="仿宋_GB2312" w:eastAsia="宋体"/>
                <w:sz w:val="24"/>
                <w:szCs w:val="24"/>
              </w:rPr>
            </w:pPr>
            <w:r>
              <w:rPr>
                <w:rFonts w:hint="eastAsia" w:ascii="仿宋_GB2312" w:eastAsia="宋体"/>
                <w:sz w:val="24"/>
              </w:rPr>
              <w:t>耗材消毒后是否可以重复使用？（周期）</w:t>
            </w:r>
          </w:p>
        </w:tc>
      </w:tr>
      <w:tr w14:paraId="19D7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98" w:type="dxa"/>
            <w:noWrap/>
          </w:tcPr>
          <w:p w14:paraId="5AD0C510">
            <w:pPr>
              <w:ind w:left="-178" w:leftChars="-85" w:firstLine="134" w:firstLineChars="56"/>
              <w:rPr>
                <w:rFonts w:ascii="仿宋_GB2312" w:eastAsia="宋体"/>
                <w:sz w:val="24"/>
              </w:rPr>
            </w:pPr>
          </w:p>
        </w:tc>
        <w:tc>
          <w:tcPr>
            <w:tcW w:w="1380" w:type="dxa"/>
            <w:noWrap/>
          </w:tcPr>
          <w:p w14:paraId="4EB5CF15">
            <w:pPr>
              <w:ind w:left="-178" w:leftChars="-85" w:firstLine="134" w:firstLineChars="56"/>
              <w:rPr>
                <w:rFonts w:ascii="仿宋_GB2312" w:eastAsia="宋体"/>
                <w:sz w:val="24"/>
              </w:rPr>
            </w:pPr>
          </w:p>
        </w:tc>
        <w:tc>
          <w:tcPr>
            <w:tcW w:w="1275" w:type="dxa"/>
            <w:noWrap/>
          </w:tcPr>
          <w:p w14:paraId="72675A6E">
            <w:pPr>
              <w:ind w:left="-178" w:leftChars="-85" w:firstLine="134" w:firstLineChars="56"/>
              <w:rPr>
                <w:rFonts w:ascii="仿宋_GB2312" w:eastAsia="宋体"/>
                <w:sz w:val="24"/>
              </w:rPr>
            </w:pPr>
          </w:p>
        </w:tc>
        <w:tc>
          <w:tcPr>
            <w:tcW w:w="795" w:type="dxa"/>
            <w:noWrap/>
          </w:tcPr>
          <w:p w14:paraId="06309871">
            <w:pPr>
              <w:ind w:left="-178" w:leftChars="-85" w:firstLine="134" w:firstLineChars="56"/>
              <w:rPr>
                <w:rFonts w:ascii="仿宋_GB2312" w:eastAsia="宋体"/>
                <w:sz w:val="24"/>
              </w:rPr>
            </w:pPr>
          </w:p>
        </w:tc>
        <w:tc>
          <w:tcPr>
            <w:tcW w:w="748" w:type="dxa"/>
            <w:noWrap/>
          </w:tcPr>
          <w:p w14:paraId="3FCF94AD">
            <w:pPr>
              <w:ind w:left="-178" w:leftChars="-85" w:firstLine="134" w:firstLineChars="56"/>
              <w:rPr>
                <w:rFonts w:ascii="仿宋_GB2312" w:eastAsia="宋体"/>
                <w:sz w:val="24"/>
              </w:rPr>
            </w:pPr>
          </w:p>
        </w:tc>
        <w:tc>
          <w:tcPr>
            <w:tcW w:w="990" w:type="dxa"/>
            <w:noWrap/>
          </w:tcPr>
          <w:p w14:paraId="6045B0D2">
            <w:pPr>
              <w:ind w:left="-178" w:leftChars="-85" w:firstLine="134" w:firstLineChars="56"/>
              <w:rPr>
                <w:rFonts w:ascii="仿宋_GB2312" w:eastAsia="宋体"/>
                <w:sz w:val="24"/>
              </w:rPr>
            </w:pPr>
          </w:p>
        </w:tc>
        <w:tc>
          <w:tcPr>
            <w:tcW w:w="1635" w:type="dxa"/>
            <w:noWrap/>
          </w:tcPr>
          <w:p w14:paraId="5BEAE615">
            <w:pPr>
              <w:ind w:left="-178" w:leftChars="-85" w:firstLine="134" w:firstLineChars="56"/>
              <w:rPr>
                <w:rFonts w:ascii="仿宋_GB2312" w:eastAsia="宋体"/>
                <w:sz w:val="24"/>
              </w:rPr>
            </w:pPr>
          </w:p>
        </w:tc>
        <w:tc>
          <w:tcPr>
            <w:tcW w:w="1605" w:type="dxa"/>
            <w:noWrap/>
          </w:tcPr>
          <w:p w14:paraId="2C1C1D6A">
            <w:pPr>
              <w:ind w:left="-178" w:leftChars="-85" w:firstLine="134" w:firstLineChars="56"/>
              <w:rPr>
                <w:rFonts w:ascii="仿宋_GB2312" w:eastAsia="宋体"/>
                <w:sz w:val="24"/>
              </w:rPr>
            </w:pPr>
          </w:p>
        </w:tc>
        <w:tc>
          <w:tcPr>
            <w:tcW w:w="1547" w:type="dxa"/>
            <w:noWrap/>
            <w:vAlign w:val="center"/>
          </w:tcPr>
          <w:p w14:paraId="43F4C2C3">
            <w:pPr>
              <w:ind w:left="-178" w:leftChars="-85" w:firstLine="134" w:firstLineChars="56"/>
              <w:jc w:val="center"/>
              <w:rPr>
                <w:rFonts w:ascii="仿宋_GB2312" w:eastAsia="宋体"/>
                <w:sz w:val="24"/>
                <w:szCs w:val="24"/>
              </w:rPr>
            </w:pPr>
          </w:p>
        </w:tc>
        <w:tc>
          <w:tcPr>
            <w:tcW w:w="1590" w:type="dxa"/>
            <w:noWrap/>
            <w:vAlign w:val="center"/>
          </w:tcPr>
          <w:p w14:paraId="613AD9D0">
            <w:pPr>
              <w:ind w:left="-178" w:leftChars="-85" w:firstLine="134" w:firstLineChars="56"/>
              <w:jc w:val="center"/>
              <w:rPr>
                <w:rFonts w:ascii="仿宋_GB2312" w:eastAsia="宋体"/>
                <w:sz w:val="24"/>
                <w:szCs w:val="24"/>
              </w:rPr>
            </w:pPr>
          </w:p>
        </w:tc>
        <w:tc>
          <w:tcPr>
            <w:tcW w:w="1386" w:type="dxa"/>
            <w:noWrap/>
            <w:vAlign w:val="center"/>
          </w:tcPr>
          <w:p w14:paraId="39072144">
            <w:pPr>
              <w:ind w:left="-178" w:leftChars="-85" w:firstLine="134" w:firstLineChars="56"/>
              <w:jc w:val="center"/>
              <w:rPr>
                <w:rFonts w:ascii="仿宋_GB2312" w:eastAsia="宋体"/>
                <w:sz w:val="24"/>
                <w:szCs w:val="24"/>
              </w:rPr>
            </w:pPr>
          </w:p>
        </w:tc>
        <w:tc>
          <w:tcPr>
            <w:tcW w:w="1092" w:type="dxa"/>
            <w:noWrap/>
          </w:tcPr>
          <w:p w14:paraId="2BF804F6">
            <w:pPr>
              <w:ind w:left="-178" w:leftChars="-85" w:firstLine="134" w:firstLineChars="56"/>
              <w:rPr>
                <w:rFonts w:ascii="仿宋_GB2312" w:eastAsia="宋体"/>
                <w:sz w:val="24"/>
              </w:rPr>
            </w:pPr>
          </w:p>
        </w:tc>
      </w:tr>
      <w:tr w14:paraId="4F5B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8" w:type="dxa"/>
            <w:noWrap/>
          </w:tcPr>
          <w:p w14:paraId="30A61B57">
            <w:pPr>
              <w:ind w:left="-178" w:leftChars="-85" w:firstLine="134" w:firstLineChars="56"/>
              <w:rPr>
                <w:rFonts w:ascii="仿宋_GB2312" w:eastAsia="宋体"/>
                <w:sz w:val="24"/>
              </w:rPr>
            </w:pPr>
          </w:p>
        </w:tc>
        <w:tc>
          <w:tcPr>
            <w:tcW w:w="1380" w:type="dxa"/>
            <w:noWrap/>
          </w:tcPr>
          <w:p w14:paraId="6BE01205">
            <w:pPr>
              <w:ind w:left="-178" w:leftChars="-85" w:firstLine="134" w:firstLineChars="56"/>
              <w:rPr>
                <w:rFonts w:ascii="仿宋_GB2312" w:eastAsia="宋体"/>
                <w:sz w:val="24"/>
              </w:rPr>
            </w:pPr>
          </w:p>
        </w:tc>
        <w:tc>
          <w:tcPr>
            <w:tcW w:w="1275" w:type="dxa"/>
            <w:noWrap/>
          </w:tcPr>
          <w:p w14:paraId="4F56F43C">
            <w:pPr>
              <w:ind w:left="-178" w:leftChars="-85" w:firstLine="134" w:firstLineChars="56"/>
              <w:rPr>
                <w:rFonts w:ascii="仿宋_GB2312" w:eastAsia="宋体"/>
                <w:sz w:val="24"/>
              </w:rPr>
            </w:pPr>
          </w:p>
        </w:tc>
        <w:tc>
          <w:tcPr>
            <w:tcW w:w="795" w:type="dxa"/>
            <w:noWrap/>
          </w:tcPr>
          <w:p w14:paraId="6703070E">
            <w:pPr>
              <w:ind w:left="-178" w:leftChars="-85" w:firstLine="134" w:firstLineChars="56"/>
              <w:rPr>
                <w:rFonts w:ascii="仿宋_GB2312" w:eastAsia="宋体"/>
                <w:sz w:val="24"/>
              </w:rPr>
            </w:pPr>
          </w:p>
        </w:tc>
        <w:tc>
          <w:tcPr>
            <w:tcW w:w="748" w:type="dxa"/>
            <w:noWrap/>
          </w:tcPr>
          <w:p w14:paraId="19C7C6A8">
            <w:pPr>
              <w:ind w:left="-178" w:leftChars="-85" w:firstLine="134" w:firstLineChars="56"/>
              <w:rPr>
                <w:rFonts w:ascii="仿宋_GB2312" w:eastAsia="宋体"/>
                <w:sz w:val="24"/>
              </w:rPr>
            </w:pPr>
          </w:p>
        </w:tc>
        <w:tc>
          <w:tcPr>
            <w:tcW w:w="990" w:type="dxa"/>
            <w:noWrap/>
          </w:tcPr>
          <w:p w14:paraId="0090B9EE">
            <w:pPr>
              <w:ind w:left="-178" w:leftChars="-85" w:firstLine="134" w:firstLineChars="56"/>
              <w:rPr>
                <w:rFonts w:ascii="仿宋_GB2312" w:eastAsia="宋体"/>
                <w:sz w:val="24"/>
              </w:rPr>
            </w:pPr>
          </w:p>
        </w:tc>
        <w:tc>
          <w:tcPr>
            <w:tcW w:w="1635" w:type="dxa"/>
            <w:noWrap/>
          </w:tcPr>
          <w:p w14:paraId="51134D88">
            <w:pPr>
              <w:ind w:left="-178" w:leftChars="-85" w:firstLine="134" w:firstLineChars="56"/>
              <w:rPr>
                <w:rFonts w:ascii="仿宋_GB2312" w:eastAsia="宋体"/>
                <w:sz w:val="24"/>
              </w:rPr>
            </w:pPr>
          </w:p>
        </w:tc>
        <w:tc>
          <w:tcPr>
            <w:tcW w:w="1605" w:type="dxa"/>
            <w:noWrap/>
          </w:tcPr>
          <w:p w14:paraId="5C3944F9">
            <w:pPr>
              <w:ind w:left="-178" w:leftChars="-85" w:firstLine="134" w:firstLineChars="56"/>
              <w:rPr>
                <w:rFonts w:ascii="仿宋_GB2312" w:eastAsia="宋体"/>
                <w:sz w:val="24"/>
              </w:rPr>
            </w:pPr>
          </w:p>
        </w:tc>
        <w:tc>
          <w:tcPr>
            <w:tcW w:w="1547" w:type="dxa"/>
            <w:noWrap/>
          </w:tcPr>
          <w:p w14:paraId="473DB655">
            <w:pPr>
              <w:ind w:left="-178" w:leftChars="-85" w:firstLine="134" w:firstLineChars="56"/>
              <w:rPr>
                <w:rFonts w:ascii="仿宋_GB2312" w:eastAsia="宋体"/>
                <w:sz w:val="24"/>
              </w:rPr>
            </w:pPr>
          </w:p>
        </w:tc>
        <w:tc>
          <w:tcPr>
            <w:tcW w:w="1590" w:type="dxa"/>
            <w:noWrap/>
          </w:tcPr>
          <w:p w14:paraId="419D5C31">
            <w:pPr>
              <w:ind w:left="-178" w:leftChars="-85" w:firstLine="134" w:firstLineChars="56"/>
              <w:rPr>
                <w:rFonts w:ascii="仿宋_GB2312" w:eastAsia="宋体"/>
                <w:sz w:val="24"/>
              </w:rPr>
            </w:pPr>
          </w:p>
        </w:tc>
        <w:tc>
          <w:tcPr>
            <w:tcW w:w="1386" w:type="dxa"/>
            <w:noWrap/>
          </w:tcPr>
          <w:p w14:paraId="0E64A458">
            <w:pPr>
              <w:ind w:left="-178" w:leftChars="-85" w:firstLine="134" w:firstLineChars="56"/>
              <w:rPr>
                <w:rFonts w:ascii="仿宋_GB2312" w:eastAsia="宋体"/>
                <w:sz w:val="24"/>
              </w:rPr>
            </w:pPr>
          </w:p>
        </w:tc>
        <w:tc>
          <w:tcPr>
            <w:tcW w:w="1092" w:type="dxa"/>
            <w:noWrap/>
          </w:tcPr>
          <w:p w14:paraId="1871A619">
            <w:pPr>
              <w:ind w:left="-178" w:leftChars="-85" w:firstLine="134" w:firstLineChars="56"/>
              <w:rPr>
                <w:rFonts w:ascii="仿宋_GB2312" w:eastAsia="宋体"/>
                <w:sz w:val="24"/>
              </w:rPr>
            </w:pPr>
          </w:p>
        </w:tc>
      </w:tr>
      <w:tr w14:paraId="33C5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8" w:type="dxa"/>
            <w:noWrap/>
          </w:tcPr>
          <w:p w14:paraId="61DC0912">
            <w:pPr>
              <w:ind w:left="-178" w:leftChars="-85" w:firstLine="134" w:firstLineChars="56"/>
              <w:rPr>
                <w:rFonts w:ascii="仿宋_GB2312" w:eastAsia="宋体"/>
                <w:sz w:val="24"/>
              </w:rPr>
            </w:pPr>
          </w:p>
        </w:tc>
        <w:tc>
          <w:tcPr>
            <w:tcW w:w="1380" w:type="dxa"/>
            <w:noWrap/>
          </w:tcPr>
          <w:p w14:paraId="1620634F">
            <w:pPr>
              <w:ind w:left="-178" w:leftChars="-85" w:firstLine="134" w:firstLineChars="56"/>
              <w:rPr>
                <w:rFonts w:ascii="仿宋_GB2312" w:eastAsia="宋体"/>
                <w:sz w:val="24"/>
              </w:rPr>
            </w:pPr>
          </w:p>
        </w:tc>
        <w:tc>
          <w:tcPr>
            <w:tcW w:w="1275" w:type="dxa"/>
            <w:noWrap/>
          </w:tcPr>
          <w:p w14:paraId="54C7E5C8">
            <w:pPr>
              <w:ind w:left="-178" w:leftChars="-85" w:firstLine="134" w:firstLineChars="56"/>
              <w:rPr>
                <w:rFonts w:ascii="仿宋_GB2312" w:eastAsia="宋体"/>
                <w:sz w:val="24"/>
              </w:rPr>
            </w:pPr>
          </w:p>
        </w:tc>
        <w:tc>
          <w:tcPr>
            <w:tcW w:w="795" w:type="dxa"/>
            <w:noWrap/>
          </w:tcPr>
          <w:p w14:paraId="737915D8">
            <w:pPr>
              <w:ind w:left="-178" w:leftChars="-85" w:firstLine="134" w:firstLineChars="56"/>
              <w:rPr>
                <w:rFonts w:ascii="仿宋_GB2312" w:eastAsia="宋体"/>
                <w:sz w:val="24"/>
              </w:rPr>
            </w:pPr>
          </w:p>
        </w:tc>
        <w:tc>
          <w:tcPr>
            <w:tcW w:w="748" w:type="dxa"/>
            <w:noWrap/>
          </w:tcPr>
          <w:p w14:paraId="4B75BEE9">
            <w:pPr>
              <w:ind w:left="-178" w:leftChars="-85" w:firstLine="134" w:firstLineChars="56"/>
              <w:rPr>
                <w:rFonts w:ascii="仿宋_GB2312" w:eastAsia="宋体"/>
                <w:sz w:val="24"/>
              </w:rPr>
            </w:pPr>
          </w:p>
        </w:tc>
        <w:tc>
          <w:tcPr>
            <w:tcW w:w="990" w:type="dxa"/>
            <w:noWrap/>
          </w:tcPr>
          <w:p w14:paraId="1ED276CA">
            <w:pPr>
              <w:ind w:left="-178" w:leftChars="-85" w:firstLine="134" w:firstLineChars="56"/>
              <w:rPr>
                <w:rFonts w:ascii="仿宋_GB2312" w:eastAsia="宋体"/>
                <w:sz w:val="24"/>
              </w:rPr>
            </w:pPr>
          </w:p>
        </w:tc>
        <w:tc>
          <w:tcPr>
            <w:tcW w:w="1635" w:type="dxa"/>
            <w:noWrap/>
          </w:tcPr>
          <w:p w14:paraId="2262AD3C">
            <w:pPr>
              <w:ind w:left="-178" w:leftChars="-85" w:firstLine="134" w:firstLineChars="56"/>
              <w:rPr>
                <w:rFonts w:ascii="仿宋_GB2312" w:eastAsia="宋体"/>
                <w:sz w:val="24"/>
              </w:rPr>
            </w:pPr>
          </w:p>
        </w:tc>
        <w:tc>
          <w:tcPr>
            <w:tcW w:w="1605" w:type="dxa"/>
            <w:noWrap/>
          </w:tcPr>
          <w:p w14:paraId="31F9F12B">
            <w:pPr>
              <w:ind w:left="-178" w:leftChars="-85" w:firstLine="134" w:firstLineChars="56"/>
              <w:rPr>
                <w:rFonts w:ascii="仿宋_GB2312" w:eastAsia="宋体"/>
                <w:sz w:val="24"/>
              </w:rPr>
            </w:pPr>
          </w:p>
        </w:tc>
        <w:tc>
          <w:tcPr>
            <w:tcW w:w="1547" w:type="dxa"/>
            <w:noWrap/>
          </w:tcPr>
          <w:p w14:paraId="201D8402">
            <w:pPr>
              <w:ind w:left="-178" w:leftChars="-85" w:firstLine="134" w:firstLineChars="56"/>
              <w:rPr>
                <w:rFonts w:ascii="仿宋_GB2312" w:eastAsia="宋体"/>
                <w:sz w:val="24"/>
              </w:rPr>
            </w:pPr>
          </w:p>
        </w:tc>
        <w:tc>
          <w:tcPr>
            <w:tcW w:w="1590" w:type="dxa"/>
            <w:noWrap/>
          </w:tcPr>
          <w:p w14:paraId="0CAF0024">
            <w:pPr>
              <w:ind w:left="-178" w:leftChars="-85" w:firstLine="134" w:firstLineChars="56"/>
              <w:rPr>
                <w:rFonts w:ascii="仿宋_GB2312" w:eastAsia="宋体"/>
                <w:sz w:val="24"/>
              </w:rPr>
            </w:pPr>
          </w:p>
        </w:tc>
        <w:tc>
          <w:tcPr>
            <w:tcW w:w="1386" w:type="dxa"/>
            <w:noWrap/>
          </w:tcPr>
          <w:p w14:paraId="762D3409">
            <w:pPr>
              <w:ind w:left="-178" w:leftChars="-85" w:firstLine="134" w:firstLineChars="56"/>
              <w:rPr>
                <w:rFonts w:ascii="仿宋_GB2312" w:eastAsia="宋体"/>
                <w:sz w:val="24"/>
              </w:rPr>
            </w:pPr>
          </w:p>
        </w:tc>
        <w:tc>
          <w:tcPr>
            <w:tcW w:w="1092" w:type="dxa"/>
            <w:noWrap/>
          </w:tcPr>
          <w:p w14:paraId="15036C54">
            <w:pPr>
              <w:ind w:left="-178" w:leftChars="-85" w:firstLine="134" w:firstLineChars="56"/>
              <w:rPr>
                <w:rFonts w:ascii="仿宋_GB2312" w:eastAsia="宋体"/>
                <w:sz w:val="24"/>
              </w:rPr>
            </w:pPr>
          </w:p>
        </w:tc>
      </w:tr>
      <w:tr w14:paraId="09F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8" w:type="dxa"/>
            <w:noWrap/>
          </w:tcPr>
          <w:p w14:paraId="0364B916">
            <w:pPr>
              <w:ind w:left="-178" w:leftChars="-85" w:firstLine="134" w:firstLineChars="56"/>
              <w:rPr>
                <w:rFonts w:ascii="仿宋_GB2312" w:eastAsia="宋体"/>
                <w:sz w:val="24"/>
              </w:rPr>
            </w:pPr>
          </w:p>
        </w:tc>
        <w:tc>
          <w:tcPr>
            <w:tcW w:w="1380" w:type="dxa"/>
            <w:noWrap/>
          </w:tcPr>
          <w:p w14:paraId="0319C6D7">
            <w:pPr>
              <w:ind w:left="-178" w:leftChars="-85" w:firstLine="134" w:firstLineChars="56"/>
              <w:rPr>
                <w:rFonts w:ascii="仿宋_GB2312" w:eastAsia="宋体"/>
                <w:sz w:val="24"/>
              </w:rPr>
            </w:pPr>
          </w:p>
        </w:tc>
        <w:tc>
          <w:tcPr>
            <w:tcW w:w="1275" w:type="dxa"/>
            <w:noWrap/>
          </w:tcPr>
          <w:p w14:paraId="29A5D8A8">
            <w:pPr>
              <w:ind w:left="-178" w:leftChars="-85" w:firstLine="134" w:firstLineChars="56"/>
              <w:rPr>
                <w:rFonts w:ascii="仿宋_GB2312" w:eastAsia="宋体"/>
                <w:sz w:val="24"/>
              </w:rPr>
            </w:pPr>
          </w:p>
        </w:tc>
        <w:tc>
          <w:tcPr>
            <w:tcW w:w="795" w:type="dxa"/>
            <w:noWrap/>
          </w:tcPr>
          <w:p w14:paraId="71FB7AAB">
            <w:pPr>
              <w:ind w:left="-178" w:leftChars="-85" w:firstLine="134" w:firstLineChars="56"/>
              <w:rPr>
                <w:rFonts w:ascii="仿宋_GB2312" w:eastAsia="宋体"/>
                <w:sz w:val="24"/>
              </w:rPr>
            </w:pPr>
          </w:p>
        </w:tc>
        <w:tc>
          <w:tcPr>
            <w:tcW w:w="748" w:type="dxa"/>
            <w:noWrap/>
          </w:tcPr>
          <w:p w14:paraId="43C4DC4B">
            <w:pPr>
              <w:ind w:left="-178" w:leftChars="-85" w:firstLine="134" w:firstLineChars="56"/>
              <w:rPr>
                <w:rFonts w:ascii="仿宋_GB2312" w:eastAsia="宋体"/>
                <w:sz w:val="24"/>
              </w:rPr>
            </w:pPr>
          </w:p>
        </w:tc>
        <w:tc>
          <w:tcPr>
            <w:tcW w:w="990" w:type="dxa"/>
            <w:noWrap/>
          </w:tcPr>
          <w:p w14:paraId="616F41F2">
            <w:pPr>
              <w:ind w:left="-178" w:leftChars="-85" w:firstLine="134" w:firstLineChars="56"/>
              <w:rPr>
                <w:rFonts w:ascii="仿宋_GB2312" w:eastAsia="宋体"/>
                <w:sz w:val="24"/>
              </w:rPr>
            </w:pPr>
          </w:p>
        </w:tc>
        <w:tc>
          <w:tcPr>
            <w:tcW w:w="1635" w:type="dxa"/>
            <w:noWrap/>
          </w:tcPr>
          <w:p w14:paraId="2791EAA9">
            <w:pPr>
              <w:ind w:left="-178" w:leftChars="-85" w:firstLine="134" w:firstLineChars="56"/>
              <w:rPr>
                <w:rFonts w:ascii="仿宋_GB2312" w:eastAsia="宋体"/>
                <w:sz w:val="24"/>
              </w:rPr>
            </w:pPr>
          </w:p>
        </w:tc>
        <w:tc>
          <w:tcPr>
            <w:tcW w:w="1605" w:type="dxa"/>
            <w:noWrap/>
          </w:tcPr>
          <w:p w14:paraId="7CF906A3">
            <w:pPr>
              <w:ind w:left="-178" w:leftChars="-85" w:firstLine="134" w:firstLineChars="56"/>
              <w:rPr>
                <w:rFonts w:ascii="仿宋_GB2312" w:eastAsia="宋体"/>
                <w:sz w:val="24"/>
              </w:rPr>
            </w:pPr>
          </w:p>
        </w:tc>
        <w:tc>
          <w:tcPr>
            <w:tcW w:w="1547" w:type="dxa"/>
            <w:noWrap/>
          </w:tcPr>
          <w:p w14:paraId="24CB06FD">
            <w:pPr>
              <w:ind w:left="-178" w:leftChars="-85" w:firstLine="134" w:firstLineChars="56"/>
              <w:rPr>
                <w:rFonts w:ascii="仿宋_GB2312" w:eastAsia="宋体"/>
                <w:sz w:val="24"/>
              </w:rPr>
            </w:pPr>
          </w:p>
        </w:tc>
        <w:tc>
          <w:tcPr>
            <w:tcW w:w="1590" w:type="dxa"/>
            <w:noWrap/>
          </w:tcPr>
          <w:p w14:paraId="2DF47809">
            <w:pPr>
              <w:ind w:left="-178" w:leftChars="-85" w:firstLine="134" w:firstLineChars="56"/>
              <w:rPr>
                <w:rFonts w:ascii="仿宋_GB2312" w:eastAsia="宋体"/>
                <w:sz w:val="24"/>
              </w:rPr>
            </w:pPr>
          </w:p>
        </w:tc>
        <w:tc>
          <w:tcPr>
            <w:tcW w:w="1386" w:type="dxa"/>
            <w:noWrap/>
          </w:tcPr>
          <w:p w14:paraId="68A94DEA">
            <w:pPr>
              <w:ind w:left="-178" w:leftChars="-85" w:firstLine="134" w:firstLineChars="56"/>
              <w:rPr>
                <w:rFonts w:ascii="仿宋_GB2312" w:eastAsia="宋体"/>
                <w:sz w:val="24"/>
              </w:rPr>
            </w:pPr>
          </w:p>
        </w:tc>
        <w:tc>
          <w:tcPr>
            <w:tcW w:w="1092" w:type="dxa"/>
            <w:noWrap/>
          </w:tcPr>
          <w:p w14:paraId="1702354E">
            <w:pPr>
              <w:ind w:left="-178" w:leftChars="-85" w:firstLine="134" w:firstLineChars="56"/>
              <w:rPr>
                <w:rFonts w:ascii="仿宋_GB2312" w:eastAsia="宋体"/>
                <w:sz w:val="24"/>
              </w:rPr>
            </w:pPr>
          </w:p>
        </w:tc>
      </w:tr>
    </w:tbl>
    <w:p w14:paraId="179D1C35">
      <w:pPr>
        <w:ind w:left="-178" w:leftChars="-85" w:firstLine="134" w:firstLineChars="56"/>
        <w:rPr>
          <w:rFonts w:ascii="仿宋_GB2312" w:eastAsia="宋体"/>
          <w:sz w:val="24"/>
        </w:rPr>
      </w:pPr>
    </w:p>
    <w:p w14:paraId="7B99530F">
      <w:pPr>
        <w:ind w:left="-178" w:leftChars="-85" w:firstLine="134" w:firstLineChars="56"/>
        <w:rPr>
          <w:rFonts w:ascii="仿宋_GB2312" w:eastAsia="宋体"/>
          <w:sz w:val="24"/>
        </w:rPr>
      </w:pPr>
    </w:p>
    <w:p w14:paraId="1B4354F9">
      <w:pPr>
        <w:ind w:left="-178" w:leftChars="-85" w:firstLine="134" w:firstLineChars="56"/>
        <w:rPr>
          <w:rFonts w:ascii="仿宋_GB2312" w:eastAsia="宋体"/>
          <w:sz w:val="24"/>
        </w:rPr>
      </w:pPr>
    </w:p>
    <w:p w14:paraId="77322073">
      <w:pPr>
        <w:ind w:left="-178" w:leftChars="-85" w:firstLine="134" w:firstLineChars="56"/>
        <w:rPr>
          <w:rFonts w:ascii="仿宋_GB2312" w:eastAsia="宋体"/>
          <w:sz w:val="24"/>
        </w:rPr>
      </w:pPr>
    </w:p>
    <w:p w14:paraId="0A9058FC">
      <w:pPr>
        <w:ind w:left="-178" w:leftChars="-85" w:firstLine="134" w:firstLineChars="56"/>
        <w:rPr>
          <w:rFonts w:ascii="仿宋_GB2312" w:eastAsia="宋体"/>
          <w:sz w:val="24"/>
        </w:rPr>
      </w:pPr>
    </w:p>
    <w:p w14:paraId="010B89FD">
      <w:pPr>
        <w:ind w:left="-178" w:leftChars="-85" w:firstLine="134" w:firstLineChars="56"/>
        <w:rPr>
          <w:rFonts w:ascii="仿宋_GB2312" w:eastAsia="宋体"/>
          <w:sz w:val="24"/>
        </w:rPr>
      </w:pPr>
    </w:p>
    <w:p w14:paraId="21B9A67D">
      <w:pPr>
        <w:ind w:left="-178" w:leftChars="-85" w:firstLine="134" w:firstLineChars="56"/>
        <w:rPr>
          <w:rFonts w:ascii="仿宋_GB2312" w:eastAsia="宋体"/>
          <w:sz w:val="24"/>
        </w:rPr>
      </w:pPr>
    </w:p>
    <w:p w14:paraId="4B549E95">
      <w:pPr>
        <w:ind w:left="-178" w:leftChars="-85" w:firstLine="134" w:firstLineChars="56"/>
        <w:rPr>
          <w:rFonts w:ascii="仿宋_GB2312" w:eastAsia="宋体"/>
          <w:sz w:val="24"/>
        </w:rPr>
      </w:pPr>
    </w:p>
    <w:p w14:paraId="65A45523">
      <w:pPr>
        <w:ind w:left="-178" w:leftChars="-85" w:firstLine="134" w:firstLineChars="56"/>
        <w:rPr>
          <w:rFonts w:ascii="仿宋_GB2312" w:eastAsia="宋体"/>
          <w:sz w:val="24"/>
        </w:rPr>
      </w:pPr>
    </w:p>
    <w:p w14:paraId="7FEC98F8">
      <w:pPr>
        <w:ind w:left="-178" w:leftChars="-85" w:firstLine="134" w:firstLineChars="56"/>
        <w:rPr>
          <w:rFonts w:ascii="仿宋_GB2312" w:eastAsia="宋体"/>
          <w:sz w:val="24"/>
        </w:rPr>
      </w:pPr>
    </w:p>
    <w:p w14:paraId="0C9BF5BB">
      <w:pPr>
        <w:ind w:left="-178" w:leftChars="-85" w:firstLine="134" w:firstLineChars="56"/>
        <w:rPr>
          <w:rFonts w:ascii="仿宋_GB2312" w:eastAsia="宋体"/>
          <w:sz w:val="24"/>
        </w:rPr>
      </w:pPr>
    </w:p>
    <w:p w14:paraId="6E7509C7">
      <w:pPr>
        <w:ind w:left="-178" w:leftChars="-85" w:firstLine="134" w:firstLineChars="56"/>
        <w:rPr>
          <w:rFonts w:ascii="仿宋_GB2312" w:eastAsia="宋体"/>
          <w:sz w:val="24"/>
        </w:rPr>
      </w:pPr>
    </w:p>
    <w:p w14:paraId="555DE2CD">
      <w:pPr>
        <w:ind w:left="-178" w:leftChars="-85" w:firstLine="134" w:firstLineChars="56"/>
        <w:rPr>
          <w:rFonts w:ascii="仿宋_GB2312" w:eastAsia="宋体"/>
          <w:sz w:val="24"/>
        </w:rPr>
      </w:pPr>
    </w:p>
    <w:p w14:paraId="18A3F7AC">
      <w:pPr>
        <w:pStyle w:val="9"/>
        <w:ind w:left="0" w:leftChars="0" w:firstLine="0" w:firstLineChars="0"/>
      </w:pPr>
    </w:p>
    <w:p w14:paraId="47B5068F">
      <w:pPr>
        <w:ind w:left="-178" w:leftChars="-85" w:firstLine="1322" w:firstLineChars="551"/>
        <w:rPr>
          <w:rFonts w:ascii="仿宋_GB2312" w:eastAsia="宋体"/>
          <w:sz w:val="24"/>
        </w:rPr>
      </w:pPr>
      <w:r>
        <w:rPr>
          <w:rFonts w:hint="eastAsia" w:ascii="仿宋_GB2312" w:eastAsia="宋体"/>
          <w:sz w:val="24"/>
        </w:rPr>
        <w:t>表3.易损配件（不够可另附页）</w:t>
      </w:r>
    </w:p>
    <w:tbl>
      <w:tblPr>
        <w:tblStyle w:val="10"/>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115"/>
        <w:gridCol w:w="2040"/>
        <w:gridCol w:w="750"/>
        <w:gridCol w:w="1185"/>
        <w:gridCol w:w="1035"/>
        <w:gridCol w:w="1500"/>
        <w:gridCol w:w="2229"/>
      </w:tblGrid>
      <w:tr w14:paraId="375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7A2681C8">
            <w:pPr>
              <w:ind w:left="-178" w:leftChars="-85" w:firstLine="134" w:firstLineChars="56"/>
              <w:jc w:val="center"/>
              <w:rPr>
                <w:rFonts w:ascii="仿宋_GB2312" w:eastAsia="宋体"/>
                <w:sz w:val="24"/>
              </w:rPr>
            </w:pPr>
            <w:r>
              <w:rPr>
                <w:rFonts w:hint="eastAsia" w:ascii="仿宋_GB2312" w:eastAsia="宋体"/>
                <w:sz w:val="24"/>
              </w:rPr>
              <w:t>品名</w:t>
            </w:r>
          </w:p>
        </w:tc>
        <w:tc>
          <w:tcPr>
            <w:tcW w:w="2115" w:type="dxa"/>
            <w:noWrap/>
            <w:vAlign w:val="center"/>
          </w:tcPr>
          <w:p w14:paraId="6551D6E9">
            <w:pPr>
              <w:ind w:left="-178" w:leftChars="-85" w:firstLine="134" w:firstLineChars="56"/>
              <w:jc w:val="center"/>
              <w:rPr>
                <w:rFonts w:ascii="仿宋_GB2312" w:eastAsia="宋体"/>
                <w:sz w:val="24"/>
              </w:rPr>
            </w:pPr>
            <w:r>
              <w:rPr>
                <w:rFonts w:hint="eastAsia" w:ascii="仿宋_GB2312" w:eastAsia="宋体"/>
                <w:sz w:val="24"/>
              </w:rPr>
              <w:t>型号规格</w:t>
            </w:r>
          </w:p>
        </w:tc>
        <w:tc>
          <w:tcPr>
            <w:tcW w:w="2040" w:type="dxa"/>
            <w:noWrap/>
            <w:vAlign w:val="center"/>
          </w:tcPr>
          <w:p w14:paraId="70518E7A">
            <w:pPr>
              <w:ind w:left="-178" w:leftChars="-85" w:firstLine="134" w:firstLineChars="56"/>
              <w:jc w:val="center"/>
              <w:rPr>
                <w:rFonts w:ascii="仿宋_GB2312" w:eastAsia="宋体"/>
                <w:sz w:val="24"/>
              </w:rPr>
            </w:pPr>
            <w:r>
              <w:rPr>
                <w:rFonts w:hint="eastAsia" w:ascii="仿宋_GB2312" w:eastAsia="宋体"/>
                <w:sz w:val="24"/>
              </w:rPr>
              <w:t>生产商</w:t>
            </w:r>
          </w:p>
        </w:tc>
        <w:tc>
          <w:tcPr>
            <w:tcW w:w="750" w:type="dxa"/>
            <w:noWrap/>
            <w:vAlign w:val="center"/>
          </w:tcPr>
          <w:p w14:paraId="3F673688">
            <w:pPr>
              <w:ind w:left="-178" w:leftChars="-85" w:firstLine="134" w:firstLineChars="56"/>
              <w:jc w:val="center"/>
              <w:rPr>
                <w:rFonts w:ascii="仿宋_GB2312" w:eastAsia="宋体"/>
                <w:sz w:val="24"/>
              </w:rPr>
            </w:pPr>
            <w:r>
              <w:rPr>
                <w:rFonts w:hint="eastAsia" w:ascii="仿宋_GB2312" w:eastAsia="宋体"/>
                <w:sz w:val="24"/>
              </w:rPr>
              <w:t>单位</w:t>
            </w:r>
          </w:p>
        </w:tc>
        <w:tc>
          <w:tcPr>
            <w:tcW w:w="1185" w:type="dxa"/>
            <w:noWrap/>
            <w:vAlign w:val="center"/>
          </w:tcPr>
          <w:p w14:paraId="4A052E67">
            <w:pPr>
              <w:ind w:left="-178" w:leftChars="-85" w:firstLine="134" w:firstLineChars="56"/>
              <w:jc w:val="center"/>
              <w:rPr>
                <w:rFonts w:ascii="仿宋_GB2312" w:eastAsia="宋体"/>
                <w:sz w:val="24"/>
              </w:rPr>
            </w:pPr>
            <w:r>
              <w:rPr>
                <w:rFonts w:hint="eastAsia" w:ascii="仿宋_GB2312" w:eastAsia="宋体"/>
                <w:sz w:val="24"/>
              </w:rPr>
              <w:t>报价</w:t>
            </w:r>
          </w:p>
        </w:tc>
        <w:tc>
          <w:tcPr>
            <w:tcW w:w="1035" w:type="dxa"/>
            <w:noWrap/>
            <w:vAlign w:val="center"/>
          </w:tcPr>
          <w:p w14:paraId="12C52E9A">
            <w:pPr>
              <w:ind w:left="-178" w:leftChars="-85" w:firstLine="134" w:firstLineChars="56"/>
              <w:jc w:val="center"/>
              <w:rPr>
                <w:rFonts w:ascii="仿宋_GB2312" w:eastAsia="宋体"/>
                <w:sz w:val="24"/>
              </w:rPr>
            </w:pPr>
            <w:r>
              <w:rPr>
                <w:rFonts w:hint="eastAsia" w:ascii="仿宋_GB2312" w:eastAsia="宋体"/>
                <w:sz w:val="24"/>
              </w:rPr>
              <w:t>供应价</w:t>
            </w:r>
          </w:p>
        </w:tc>
        <w:tc>
          <w:tcPr>
            <w:tcW w:w="1500" w:type="dxa"/>
            <w:noWrap/>
            <w:vAlign w:val="center"/>
          </w:tcPr>
          <w:p w14:paraId="6EC375DE">
            <w:pPr>
              <w:ind w:left="-178" w:leftChars="-85" w:firstLine="134" w:firstLineChars="56"/>
              <w:jc w:val="center"/>
              <w:rPr>
                <w:rFonts w:ascii="仿宋_GB2312" w:eastAsia="宋体"/>
                <w:sz w:val="24"/>
              </w:rPr>
            </w:pPr>
            <w:r>
              <w:rPr>
                <w:rFonts w:hint="eastAsia" w:ascii="仿宋_GB2312" w:eastAsia="宋体"/>
                <w:sz w:val="24"/>
              </w:rPr>
              <w:t>是否有其它</w:t>
            </w:r>
          </w:p>
          <w:p w14:paraId="027C9A7E">
            <w:pPr>
              <w:ind w:left="-178" w:leftChars="-85" w:firstLine="134" w:firstLineChars="56"/>
              <w:jc w:val="center"/>
              <w:rPr>
                <w:rFonts w:ascii="仿宋_GB2312" w:eastAsia="宋体"/>
                <w:sz w:val="24"/>
              </w:rPr>
            </w:pPr>
            <w:r>
              <w:rPr>
                <w:rFonts w:hint="eastAsia" w:ascii="仿宋_GB2312" w:eastAsia="宋体"/>
                <w:sz w:val="24"/>
              </w:rPr>
              <w:t>品牌替代？</w:t>
            </w:r>
          </w:p>
        </w:tc>
        <w:tc>
          <w:tcPr>
            <w:tcW w:w="2229" w:type="dxa"/>
            <w:noWrap/>
            <w:vAlign w:val="center"/>
          </w:tcPr>
          <w:p w14:paraId="3D473BEC">
            <w:pPr>
              <w:ind w:left="-178" w:leftChars="-85" w:firstLine="134" w:firstLineChars="56"/>
              <w:jc w:val="center"/>
              <w:rPr>
                <w:rFonts w:ascii="仿宋_GB2312" w:eastAsia="宋体"/>
                <w:sz w:val="24"/>
              </w:rPr>
            </w:pPr>
            <w:r>
              <w:rPr>
                <w:rFonts w:hint="eastAsia" w:ascii="仿宋_GB2312" w:eastAsia="宋体"/>
                <w:sz w:val="24"/>
              </w:rPr>
              <w:t>预计更换周期</w:t>
            </w:r>
          </w:p>
        </w:tc>
      </w:tr>
      <w:tr w14:paraId="3562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5449C6DF">
            <w:pPr>
              <w:ind w:left="-178" w:leftChars="-85" w:firstLine="134" w:firstLineChars="56"/>
              <w:jc w:val="center"/>
              <w:rPr>
                <w:rFonts w:ascii="仿宋_GB2312" w:eastAsia="宋体"/>
                <w:sz w:val="24"/>
              </w:rPr>
            </w:pPr>
          </w:p>
        </w:tc>
        <w:tc>
          <w:tcPr>
            <w:tcW w:w="2115" w:type="dxa"/>
            <w:noWrap/>
            <w:vAlign w:val="center"/>
          </w:tcPr>
          <w:p w14:paraId="74549F8B">
            <w:pPr>
              <w:ind w:left="-178" w:leftChars="-85" w:firstLine="134" w:firstLineChars="56"/>
              <w:jc w:val="center"/>
              <w:rPr>
                <w:rFonts w:ascii="仿宋_GB2312" w:eastAsia="宋体"/>
                <w:sz w:val="24"/>
              </w:rPr>
            </w:pPr>
          </w:p>
        </w:tc>
        <w:tc>
          <w:tcPr>
            <w:tcW w:w="2040" w:type="dxa"/>
            <w:noWrap/>
            <w:vAlign w:val="center"/>
          </w:tcPr>
          <w:p w14:paraId="6920D7D6">
            <w:pPr>
              <w:ind w:left="-178" w:leftChars="-85" w:firstLine="134" w:firstLineChars="56"/>
              <w:jc w:val="center"/>
              <w:rPr>
                <w:rFonts w:ascii="仿宋_GB2312" w:eastAsia="宋体"/>
                <w:sz w:val="24"/>
              </w:rPr>
            </w:pPr>
          </w:p>
        </w:tc>
        <w:tc>
          <w:tcPr>
            <w:tcW w:w="750" w:type="dxa"/>
            <w:noWrap/>
            <w:vAlign w:val="center"/>
          </w:tcPr>
          <w:p w14:paraId="23983AC6">
            <w:pPr>
              <w:ind w:left="-178" w:leftChars="-85" w:firstLine="134" w:firstLineChars="56"/>
              <w:jc w:val="center"/>
              <w:rPr>
                <w:rFonts w:ascii="仿宋_GB2312" w:eastAsia="宋体"/>
                <w:sz w:val="24"/>
              </w:rPr>
            </w:pPr>
          </w:p>
        </w:tc>
        <w:tc>
          <w:tcPr>
            <w:tcW w:w="1185" w:type="dxa"/>
            <w:noWrap/>
            <w:vAlign w:val="center"/>
          </w:tcPr>
          <w:p w14:paraId="45C9CE3D">
            <w:pPr>
              <w:ind w:left="-178" w:leftChars="-85" w:firstLine="134" w:firstLineChars="56"/>
              <w:jc w:val="center"/>
              <w:rPr>
                <w:rFonts w:ascii="仿宋_GB2312" w:eastAsia="宋体"/>
                <w:sz w:val="24"/>
              </w:rPr>
            </w:pPr>
          </w:p>
        </w:tc>
        <w:tc>
          <w:tcPr>
            <w:tcW w:w="1035" w:type="dxa"/>
            <w:noWrap/>
            <w:vAlign w:val="center"/>
          </w:tcPr>
          <w:p w14:paraId="7A0F4FF0">
            <w:pPr>
              <w:ind w:left="-178" w:leftChars="-85" w:firstLine="134" w:firstLineChars="56"/>
              <w:jc w:val="center"/>
              <w:rPr>
                <w:rFonts w:ascii="仿宋_GB2312" w:eastAsia="宋体"/>
                <w:sz w:val="24"/>
              </w:rPr>
            </w:pPr>
          </w:p>
        </w:tc>
        <w:tc>
          <w:tcPr>
            <w:tcW w:w="1500" w:type="dxa"/>
            <w:noWrap/>
            <w:vAlign w:val="center"/>
          </w:tcPr>
          <w:p w14:paraId="5E32EA09">
            <w:pPr>
              <w:ind w:left="-178" w:leftChars="-85" w:firstLine="134" w:firstLineChars="56"/>
              <w:jc w:val="center"/>
              <w:rPr>
                <w:rFonts w:ascii="仿宋_GB2312" w:eastAsia="宋体"/>
                <w:sz w:val="24"/>
              </w:rPr>
            </w:pPr>
          </w:p>
        </w:tc>
        <w:tc>
          <w:tcPr>
            <w:tcW w:w="2229" w:type="dxa"/>
            <w:noWrap/>
            <w:vAlign w:val="center"/>
          </w:tcPr>
          <w:p w14:paraId="3734FD7B">
            <w:pPr>
              <w:ind w:left="-178" w:leftChars="-85" w:firstLine="134" w:firstLineChars="56"/>
              <w:jc w:val="center"/>
              <w:rPr>
                <w:rFonts w:ascii="仿宋_GB2312" w:eastAsia="宋体"/>
                <w:sz w:val="24"/>
              </w:rPr>
            </w:pPr>
          </w:p>
        </w:tc>
      </w:tr>
      <w:tr w14:paraId="13A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865" w:type="dxa"/>
            <w:noWrap/>
          </w:tcPr>
          <w:p w14:paraId="5AA6A7F9">
            <w:pPr>
              <w:ind w:left="-178" w:leftChars="-85" w:firstLine="134" w:firstLineChars="56"/>
              <w:rPr>
                <w:rFonts w:ascii="仿宋_GB2312" w:eastAsia="宋体"/>
                <w:sz w:val="24"/>
              </w:rPr>
            </w:pPr>
          </w:p>
        </w:tc>
        <w:tc>
          <w:tcPr>
            <w:tcW w:w="2115" w:type="dxa"/>
            <w:noWrap/>
          </w:tcPr>
          <w:p w14:paraId="7C88E032">
            <w:pPr>
              <w:ind w:left="-178" w:leftChars="-85" w:firstLine="134" w:firstLineChars="56"/>
              <w:rPr>
                <w:rFonts w:ascii="仿宋_GB2312" w:eastAsia="宋体"/>
                <w:sz w:val="24"/>
              </w:rPr>
            </w:pPr>
          </w:p>
        </w:tc>
        <w:tc>
          <w:tcPr>
            <w:tcW w:w="2040" w:type="dxa"/>
            <w:noWrap/>
          </w:tcPr>
          <w:p w14:paraId="466AFE7D">
            <w:pPr>
              <w:ind w:left="-178" w:leftChars="-85" w:firstLine="134" w:firstLineChars="56"/>
              <w:rPr>
                <w:rFonts w:ascii="仿宋_GB2312" w:eastAsia="宋体"/>
                <w:sz w:val="24"/>
              </w:rPr>
            </w:pPr>
          </w:p>
        </w:tc>
        <w:tc>
          <w:tcPr>
            <w:tcW w:w="750" w:type="dxa"/>
            <w:noWrap/>
          </w:tcPr>
          <w:p w14:paraId="49FC6808">
            <w:pPr>
              <w:ind w:left="-178" w:leftChars="-85" w:firstLine="134" w:firstLineChars="56"/>
              <w:rPr>
                <w:rFonts w:ascii="仿宋_GB2312" w:eastAsia="宋体"/>
                <w:sz w:val="24"/>
              </w:rPr>
            </w:pPr>
          </w:p>
        </w:tc>
        <w:tc>
          <w:tcPr>
            <w:tcW w:w="1185" w:type="dxa"/>
            <w:noWrap/>
          </w:tcPr>
          <w:p w14:paraId="14D88912">
            <w:pPr>
              <w:ind w:left="-178" w:leftChars="-85" w:firstLine="134" w:firstLineChars="56"/>
              <w:rPr>
                <w:rFonts w:ascii="仿宋_GB2312" w:eastAsia="宋体"/>
                <w:sz w:val="24"/>
              </w:rPr>
            </w:pPr>
          </w:p>
        </w:tc>
        <w:tc>
          <w:tcPr>
            <w:tcW w:w="1035" w:type="dxa"/>
            <w:noWrap/>
          </w:tcPr>
          <w:p w14:paraId="3BEA0199">
            <w:pPr>
              <w:ind w:left="-178" w:leftChars="-85" w:firstLine="134" w:firstLineChars="56"/>
              <w:rPr>
                <w:rFonts w:ascii="仿宋_GB2312" w:eastAsia="宋体"/>
                <w:sz w:val="24"/>
              </w:rPr>
            </w:pPr>
          </w:p>
        </w:tc>
        <w:tc>
          <w:tcPr>
            <w:tcW w:w="1500" w:type="dxa"/>
            <w:noWrap/>
          </w:tcPr>
          <w:p w14:paraId="36898C78">
            <w:pPr>
              <w:ind w:left="-178" w:leftChars="-85" w:firstLine="134" w:firstLineChars="56"/>
              <w:rPr>
                <w:rFonts w:ascii="仿宋_GB2312" w:eastAsia="宋体"/>
                <w:sz w:val="24"/>
              </w:rPr>
            </w:pPr>
          </w:p>
        </w:tc>
        <w:tc>
          <w:tcPr>
            <w:tcW w:w="2229" w:type="dxa"/>
            <w:noWrap/>
          </w:tcPr>
          <w:p w14:paraId="6C926A6B">
            <w:pPr>
              <w:ind w:left="-178" w:leftChars="-85" w:firstLine="134" w:firstLineChars="56"/>
              <w:rPr>
                <w:rFonts w:ascii="仿宋_GB2312" w:eastAsia="宋体"/>
                <w:sz w:val="24"/>
              </w:rPr>
            </w:pPr>
          </w:p>
        </w:tc>
      </w:tr>
      <w:tr w14:paraId="3E2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65" w:type="dxa"/>
            <w:noWrap/>
          </w:tcPr>
          <w:p w14:paraId="2D51EEEE">
            <w:pPr>
              <w:ind w:left="-178" w:leftChars="-85" w:firstLine="134" w:firstLineChars="56"/>
              <w:rPr>
                <w:rFonts w:ascii="仿宋_GB2312" w:eastAsia="宋体"/>
                <w:sz w:val="24"/>
              </w:rPr>
            </w:pPr>
          </w:p>
        </w:tc>
        <w:tc>
          <w:tcPr>
            <w:tcW w:w="2115" w:type="dxa"/>
            <w:noWrap/>
          </w:tcPr>
          <w:p w14:paraId="477D8212">
            <w:pPr>
              <w:ind w:left="-178" w:leftChars="-85" w:firstLine="134" w:firstLineChars="56"/>
              <w:rPr>
                <w:rFonts w:ascii="仿宋_GB2312" w:eastAsia="宋体"/>
                <w:sz w:val="24"/>
              </w:rPr>
            </w:pPr>
          </w:p>
        </w:tc>
        <w:tc>
          <w:tcPr>
            <w:tcW w:w="2040" w:type="dxa"/>
            <w:noWrap/>
          </w:tcPr>
          <w:p w14:paraId="0986B419">
            <w:pPr>
              <w:ind w:left="-178" w:leftChars="-85" w:firstLine="134" w:firstLineChars="56"/>
              <w:rPr>
                <w:rFonts w:ascii="仿宋_GB2312" w:eastAsia="宋体"/>
                <w:sz w:val="24"/>
              </w:rPr>
            </w:pPr>
          </w:p>
        </w:tc>
        <w:tc>
          <w:tcPr>
            <w:tcW w:w="750" w:type="dxa"/>
            <w:noWrap/>
          </w:tcPr>
          <w:p w14:paraId="413FE7DC">
            <w:pPr>
              <w:ind w:left="-178" w:leftChars="-85" w:firstLine="134" w:firstLineChars="56"/>
              <w:rPr>
                <w:rFonts w:ascii="仿宋_GB2312" w:eastAsia="宋体"/>
                <w:sz w:val="24"/>
              </w:rPr>
            </w:pPr>
          </w:p>
        </w:tc>
        <w:tc>
          <w:tcPr>
            <w:tcW w:w="1185" w:type="dxa"/>
            <w:noWrap/>
          </w:tcPr>
          <w:p w14:paraId="36E214BB">
            <w:pPr>
              <w:ind w:left="-178" w:leftChars="-85" w:firstLine="134" w:firstLineChars="56"/>
              <w:rPr>
                <w:rFonts w:ascii="仿宋_GB2312" w:eastAsia="宋体"/>
                <w:sz w:val="24"/>
              </w:rPr>
            </w:pPr>
          </w:p>
        </w:tc>
        <w:tc>
          <w:tcPr>
            <w:tcW w:w="1035" w:type="dxa"/>
            <w:noWrap/>
          </w:tcPr>
          <w:p w14:paraId="40C9B545">
            <w:pPr>
              <w:ind w:left="-178" w:leftChars="-85" w:firstLine="134" w:firstLineChars="56"/>
              <w:rPr>
                <w:rFonts w:ascii="仿宋_GB2312" w:eastAsia="宋体"/>
                <w:sz w:val="24"/>
              </w:rPr>
            </w:pPr>
          </w:p>
        </w:tc>
        <w:tc>
          <w:tcPr>
            <w:tcW w:w="1500" w:type="dxa"/>
            <w:noWrap/>
          </w:tcPr>
          <w:p w14:paraId="0055FD0F">
            <w:pPr>
              <w:ind w:left="-178" w:leftChars="-85" w:firstLine="134" w:firstLineChars="56"/>
              <w:rPr>
                <w:rFonts w:ascii="仿宋_GB2312" w:eastAsia="宋体"/>
                <w:sz w:val="24"/>
              </w:rPr>
            </w:pPr>
          </w:p>
        </w:tc>
        <w:tc>
          <w:tcPr>
            <w:tcW w:w="2229" w:type="dxa"/>
            <w:noWrap/>
          </w:tcPr>
          <w:p w14:paraId="13FF0D09">
            <w:pPr>
              <w:ind w:left="-178" w:leftChars="-85" w:firstLine="134" w:firstLineChars="56"/>
              <w:rPr>
                <w:rFonts w:ascii="仿宋_GB2312" w:eastAsia="宋体"/>
                <w:sz w:val="24"/>
              </w:rPr>
            </w:pPr>
          </w:p>
        </w:tc>
      </w:tr>
      <w:tr w14:paraId="108F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865" w:type="dxa"/>
            <w:noWrap/>
          </w:tcPr>
          <w:p w14:paraId="133B9A41">
            <w:pPr>
              <w:ind w:left="-178" w:leftChars="-85" w:firstLine="134" w:firstLineChars="56"/>
              <w:rPr>
                <w:rFonts w:ascii="仿宋_GB2312" w:eastAsia="宋体"/>
                <w:sz w:val="24"/>
              </w:rPr>
            </w:pPr>
          </w:p>
        </w:tc>
        <w:tc>
          <w:tcPr>
            <w:tcW w:w="2115" w:type="dxa"/>
            <w:noWrap/>
          </w:tcPr>
          <w:p w14:paraId="012E3330">
            <w:pPr>
              <w:ind w:left="-178" w:leftChars="-85" w:firstLine="134" w:firstLineChars="56"/>
              <w:rPr>
                <w:rFonts w:ascii="仿宋_GB2312" w:eastAsia="宋体"/>
                <w:sz w:val="24"/>
              </w:rPr>
            </w:pPr>
          </w:p>
        </w:tc>
        <w:tc>
          <w:tcPr>
            <w:tcW w:w="2040" w:type="dxa"/>
            <w:noWrap/>
          </w:tcPr>
          <w:p w14:paraId="2603F0D2">
            <w:pPr>
              <w:ind w:left="-178" w:leftChars="-85" w:firstLine="134" w:firstLineChars="56"/>
              <w:rPr>
                <w:rFonts w:ascii="仿宋_GB2312" w:eastAsia="宋体"/>
                <w:sz w:val="24"/>
              </w:rPr>
            </w:pPr>
          </w:p>
        </w:tc>
        <w:tc>
          <w:tcPr>
            <w:tcW w:w="750" w:type="dxa"/>
            <w:noWrap/>
          </w:tcPr>
          <w:p w14:paraId="0F442435">
            <w:pPr>
              <w:ind w:left="-178" w:leftChars="-85" w:firstLine="134" w:firstLineChars="56"/>
              <w:rPr>
                <w:rFonts w:ascii="仿宋_GB2312" w:eastAsia="宋体"/>
                <w:sz w:val="24"/>
              </w:rPr>
            </w:pPr>
          </w:p>
        </w:tc>
        <w:tc>
          <w:tcPr>
            <w:tcW w:w="1185" w:type="dxa"/>
            <w:noWrap/>
          </w:tcPr>
          <w:p w14:paraId="269ABF88">
            <w:pPr>
              <w:ind w:left="-178" w:leftChars="-85" w:firstLine="134" w:firstLineChars="56"/>
              <w:rPr>
                <w:rFonts w:ascii="仿宋_GB2312" w:eastAsia="宋体"/>
                <w:sz w:val="24"/>
              </w:rPr>
            </w:pPr>
          </w:p>
        </w:tc>
        <w:tc>
          <w:tcPr>
            <w:tcW w:w="1035" w:type="dxa"/>
            <w:noWrap/>
          </w:tcPr>
          <w:p w14:paraId="53401F05">
            <w:pPr>
              <w:ind w:left="-178" w:leftChars="-85" w:firstLine="134" w:firstLineChars="56"/>
              <w:rPr>
                <w:rFonts w:ascii="仿宋_GB2312" w:eastAsia="宋体"/>
                <w:sz w:val="24"/>
              </w:rPr>
            </w:pPr>
          </w:p>
        </w:tc>
        <w:tc>
          <w:tcPr>
            <w:tcW w:w="1500" w:type="dxa"/>
            <w:noWrap/>
          </w:tcPr>
          <w:p w14:paraId="5E3D333F">
            <w:pPr>
              <w:ind w:left="-178" w:leftChars="-85" w:firstLine="134" w:firstLineChars="56"/>
              <w:rPr>
                <w:rFonts w:ascii="仿宋_GB2312" w:eastAsia="宋体"/>
                <w:sz w:val="24"/>
              </w:rPr>
            </w:pPr>
          </w:p>
        </w:tc>
        <w:tc>
          <w:tcPr>
            <w:tcW w:w="2229" w:type="dxa"/>
            <w:noWrap/>
          </w:tcPr>
          <w:p w14:paraId="3F356DCB">
            <w:pPr>
              <w:ind w:left="-178" w:leftChars="-85" w:firstLine="134" w:firstLineChars="56"/>
              <w:rPr>
                <w:rFonts w:ascii="仿宋_GB2312" w:eastAsia="宋体"/>
                <w:sz w:val="24"/>
              </w:rPr>
            </w:pPr>
          </w:p>
        </w:tc>
      </w:tr>
    </w:tbl>
    <w:p w14:paraId="276126A9">
      <w:pPr>
        <w:numPr>
          <w:ilvl w:val="0"/>
          <w:numId w:val="0"/>
        </w:numPr>
        <w:bidi w:val="0"/>
        <w:rPr>
          <w:rFonts w:hint="eastAsia"/>
          <w:b/>
          <w:bCs/>
          <w:sz w:val="28"/>
          <w:szCs w:val="28"/>
          <w:lang w:val="en-US" w:eastAsia="zh-CN"/>
        </w:rPr>
      </w:pPr>
    </w:p>
    <w:p w14:paraId="62934D40">
      <w:pPr>
        <w:numPr>
          <w:ilvl w:val="0"/>
          <w:numId w:val="0"/>
        </w:numPr>
        <w:bidi w:val="0"/>
        <w:rPr>
          <w:rFonts w:hint="default"/>
          <w:sz w:val="28"/>
          <w:szCs w:val="28"/>
          <w:lang w:val="en-US" w:eastAsia="zh-CN"/>
        </w:rPr>
      </w:pPr>
    </w:p>
    <w:sectPr>
      <w:pgSz w:w="16838" w:h="11906" w:orient="landscape"/>
      <w:pgMar w:top="1746" w:right="1440" w:bottom="174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1947"/>
    <w:multiLevelType w:val="singleLevel"/>
    <w:tmpl w:val="872B1947"/>
    <w:lvl w:ilvl="0" w:tentative="0">
      <w:start w:val="1"/>
      <w:numFmt w:val="decimal"/>
      <w:lvlText w:val="%1."/>
      <w:lvlJc w:val="left"/>
      <w:pPr>
        <w:ind w:left="425" w:hanging="425"/>
      </w:pPr>
      <w:rPr>
        <w:rFonts w:hint="default"/>
      </w:rPr>
    </w:lvl>
  </w:abstractNum>
  <w:abstractNum w:abstractNumId="1">
    <w:nsid w:val="BC5C77B5"/>
    <w:multiLevelType w:val="singleLevel"/>
    <w:tmpl w:val="BC5C77B5"/>
    <w:lvl w:ilvl="0" w:tentative="0">
      <w:start w:val="1"/>
      <w:numFmt w:val="decimal"/>
      <w:suff w:val="space"/>
      <w:lvlText w:val="%1."/>
      <w:lvlJc w:val="left"/>
    </w:lvl>
  </w:abstractNum>
  <w:abstractNum w:abstractNumId="2">
    <w:nsid w:val="00000001"/>
    <w:multiLevelType w:val="multilevel"/>
    <w:tmpl w:val="00000001"/>
    <w:lvl w:ilvl="0" w:tentative="0">
      <w:start w:val="1"/>
      <w:numFmt w:val="bullet"/>
      <w:lvlText w:val=""/>
      <w:lvlJc w:val="left"/>
      <w:pPr>
        <w:ind w:left="1440" w:hanging="720"/>
      </w:pPr>
      <w:rPr>
        <w:rFonts w:hint="default" w:ascii="Wingdings" w:hAnsi="Wingding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5840065"/>
    <w:multiLevelType w:val="singleLevel"/>
    <w:tmpl w:val="15840065"/>
    <w:lvl w:ilvl="0" w:tentative="0">
      <w:start w:val="1"/>
      <w:numFmt w:val="chineseCounting"/>
      <w:suff w:val="nothing"/>
      <w:lvlText w:val="%1、"/>
      <w:lvlJc w:val="left"/>
      <w:rPr>
        <w:rFonts w:hint="eastAsia"/>
      </w:rPr>
    </w:lvl>
  </w:abstractNum>
  <w:abstractNum w:abstractNumId="4">
    <w:nsid w:val="231CD6E1"/>
    <w:multiLevelType w:val="singleLevel"/>
    <w:tmpl w:val="231CD6E1"/>
    <w:lvl w:ilvl="0" w:tentative="0">
      <w:start w:val="1"/>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zA0YTM5ODViNmI2YjZlM2ZkNTkzOGU2OGNhMWIifQ=="/>
  </w:docVars>
  <w:rsids>
    <w:rsidRoot w:val="1D734A2B"/>
    <w:rsid w:val="00CC3245"/>
    <w:rsid w:val="01DA4AC6"/>
    <w:rsid w:val="020E7DEA"/>
    <w:rsid w:val="08F83BDD"/>
    <w:rsid w:val="10C304B2"/>
    <w:rsid w:val="18B352B0"/>
    <w:rsid w:val="18F45922"/>
    <w:rsid w:val="1D2E66AC"/>
    <w:rsid w:val="1D734A2B"/>
    <w:rsid w:val="1E1A6B30"/>
    <w:rsid w:val="1EF768CD"/>
    <w:rsid w:val="1F87795B"/>
    <w:rsid w:val="2041079C"/>
    <w:rsid w:val="27BE338B"/>
    <w:rsid w:val="2CFD6DC5"/>
    <w:rsid w:val="2F3C4CFF"/>
    <w:rsid w:val="34961BCD"/>
    <w:rsid w:val="38EF2BAF"/>
    <w:rsid w:val="3A8C79E3"/>
    <w:rsid w:val="3B6250F8"/>
    <w:rsid w:val="3E1B735B"/>
    <w:rsid w:val="3E9F7F2C"/>
    <w:rsid w:val="3F041DC2"/>
    <w:rsid w:val="3FC339A8"/>
    <w:rsid w:val="42507548"/>
    <w:rsid w:val="425778D2"/>
    <w:rsid w:val="43106CD7"/>
    <w:rsid w:val="44ED3E5A"/>
    <w:rsid w:val="46D9740E"/>
    <w:rsid w:val="4A0742B7"/>
    <w:rsid w:val="4A3414FD"/>
    <w:rsid w:val="4AE253FD"/>
    <w:rsid w:val="4B157580"/>
    <w:rsid w:val="4BCF6D14"/>
    <w:rsid w:val="4D722841"/>
    <w:rsid w:val="4F6665FD"/>
    <w:rsid w:val="5F3E5D28"/>
    <w:rsid w:val="626342DA"/>
    <w:rsid w:val="626425DB"/>
    <w:rsid w:val="64A81A7D"/>
    <w:rsid w:val="64F953C5"/>
    <w:rsid w:val="69FB3985"/>
    <w:rsid w:val="7AF415A2"/>
    <w:rsid w:val="7DFD5ACF"/>
    <w:rsid w:val="7EF0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pPr>
  </w:style>
  <w:style w:type="paragraph" w:styleId="7">
    <w:name w:val="toc 2"/>
    <w:basedOn w:val="1"/>
    <w:next w:val="1"/>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26E5"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标题 1 Char Char"/>
    <w:basedOn w:val="12"/>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6648</Words>
  <Characters>7707</Characters>
  <Lines>0</Lines>
  <Paragraphs>0</Paragraphs>
  <TotalTime>8</TotalTime>
  <ScaleCrop>false</ScaleCrop>
  <LinksUpToDate>false</LinksUpToDate>
  <CharactersWithSpaces>8026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2024-07-24T03:46:00Z</dcterms:created>
  <dc:creator>陆国富</dc:creator>
  <cp:lastModifiedBy>陆国富</cp:lastModifiedBy>
  <dcterms:modified xsi:type="dcterms:W3CDTF">2024-08-20T09:26:28Z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AE1B6BC0D403424391EED56CDAD91D6D_11</vt:lpwstr>
  </property>
</Properties>
</file>