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eastAsia="黑体"/>
          <w:color w:val="000000"/>
          <w:sz w:val="48"/>
          <w:szCs w:val="48"/>
        </w:rPr>
      </w:pPr>
      <w:r>
        <w:rPr>
          <w:rFonts w:hint="eastAsia" w:eastAsia="黑体"/>
          <w:color w:val="000000"/>
          <w:sz w:val="48"/>
          <w:szCs w:val="48"/>
        </w:rPr>
        <w:t>南京鼓楼医院集团</w:t>
      </w:r>
      <w:r>
        <w:rPr>
          <w:rFonts w:hint="eastAsia" w:eastAsia="黑体"/>
          <w:color w:val="000000"/>
          <w:sz w:val="48"/>
          <w:szCs w:val="48"/>
          <w:lang w:val="en-US" w:eastAsia="zh-CN"/>
        </w:rPr>
        <w:t>仪征</w:t>
      </w:r>
      <w:r>
        <w:rPr>
          <w:rFonts w:hint="eastAsia" w:eastAsia="黑体"/>
          <w:color w:val="000000"/>
          <w:sz w:val="48"/>
          <w:szCs w:val="48"/>
        </w:rPr>
        <w:t>医院</w:t>
      </w:r>
    </w:p>
    <w:p>
      <w:pPr>
        <w:spacing w:line="720" w:lineRule="auto"/>
        <w:jc w:val="center"/>
        <w:rPr>
          <w:rFonts w:hint="default" w:eastAsia="黑体"/>
          <w:color w:val="000000"/>
          <w:sz w:val="40"/>
          <w:szCs w:val="40"/>
          <w:lang w:val="en-US"/>
        </w:rPr>
      </w:pPr>
      <w:r>
        <w:rPr>
          <w:rFonts w:hint="eastAsia" w:eastAsia="黑体"/>
          <w:color w:val="000000"/>
          <w:sz w:val="40"/>
          <w:szCs w:val="40"/>
        </w:rPr>
        <w:t xml:space="preserve"> </w:t>
      </w:r>
      <w:r>
        <w:rPr>
          <w:rFonts w:hint="eastAsia" w:eastAsia="黑体"/>
          <w:color w:val="000000"/>
          <w:sz w:val="40"/>
          <w:szCs w:val="40"/>
          <w:lang w:val="en-US" w:eastAsia="zh-CN"/>
        </w:rPr>
        <w:t>工程、维保、大修</w:t>
      </w:r>
      <w:r>
        <w:rPr>
          <w:rFonts w:hint="eastAsia" w:eastAsia="黑体"/>
          <w:color w:val="000000"/>
          <w:sz w:val="40"/>
          <w:szCs w:val="40"/>
        </w:rPr>
        <w:t>招标代理</w:t>
      </w:r>
      <w:r>
        <w:rPr>
          <w:rFonts w:hint="eastAsia" w:eastAsia="黑体"/>
          <w:color w:val="000000"/>
          <w:sz w:val="40"/>
          <w:szCs w:val="40"/>
          <w:lang w:val="en-US" w:eastAsia="zh-CN"/>
        </w:rPr>
        <w:t>服务项目</w:t>
      </w:r>
    </w:p>
    <w:p>
      <w:pPr>
        <w:spacing w:line="720" w:lineRule="auto"/>
        <w:jc w:val="center"/>
        <w:rPr>
          <w:rFonts w:hint="eastAsia" w:eastAsia="黑体"/>
          <w:color w:val="000000"/>
          <w:sz w:val="48"/>
          <w:szCs w:val="48"/>
          <w:lang w:val="en-US" w:eastAsia="zh-CN"/>
        </w:rPr>
      </w:pPr>
    </w:p>
    <w:p>
      <w:pPr>
        <w:spacing w:line="720" w:lineRule="auto"/>
        <w:jc w:val="center"/>
        <w:rPr>
          <w:rFonts w:hint="eastAsia" w:eastAsia="黑体"/>
          <w:color w:val="000000"/>
          <w:sz w:val="48"/>
          <w:szCs w:val="48"/>
          <w:lang w:val="en-US" w:eastAsia="zh-CN"/>
        </w:rPr>
      </w:pPr>
      <w:r>
        <w:rPr>
          <w:rFonts w:hint="eastAsia" w:eastAsia="黑体"/>
          <w:color w:val="000000"/>
          <w:sz w:val="48"/>
          <w:szCs w:val="48"/>
          <w:lang w:val="en-US" w:eastAsia="zh-CN"/>
        </w:rPr>
        <w:t>招</w:t>
      </w:r>
    </w:p>
    <w:p>
      <w:pPr>
        <w:spacing w:line="720" w:lineRule="auto"/>
        <w:jc w:val="center"/>
        <w:rPr>
          <w:rFonts w:hint="eastAsia" w:eastAsia="黑体"/>
          <w:color w:val="000000"/>
          <w:sz w:val="48"/>
          <w:szCs w:val="48"/>
          <w:lang w:val="en-US" w:eastAsia="zh-CN"/>
        </w:rPr>
      </w:pPr>
    </w:p>
    <w:p>
      <w:pPr>
        <w:spacing w:line="720" w:lineRule="auto"/>
        <w:jc w:val="center"/>
        <w:rPr>
          <w:rFonts w:hint="eastAsia" w:eastAsia="黑体"/>
          <w:color w:val="000000"/>
          <w:sz w:val="48"/>
          <w:szCs w:val="48"/>
          <w:lang w:val="en-US" w:eastAsia="zh-CN"/>
        </w:rPr>
      </w:pPr>
      <w:r>
        <w:rPr>
          <w:rFonts w:hint="eastAsia" w:eastAsia="黑体"/>
          <w:color w:val="000000"/>
          <w:sz w:val="48"/>
          <w:szCs w:val="48"/>
          <w:lang w:val="en-US" w:eastAsia="zh-CN"/>
        </w:rPr>
        <w:t>标</w:t>
      </w:r>
    </w:p>
    <w:p>
      <w:pPr>
        <w:spacing w:line="720" w:lineRule="auto"/>
        <w:jc w:val="center"/>
        <w:rPr>
          <w:rFonts w:hint="eastAsia" w:eastAsia="黑体"/>
          <w:color w:val="000000"/>
          <w:sz w:val="48"/>
          <w:szCs w:val="48"/>
          <w:lang w:val="en-US" w:eastAsia="zh-CN"/>
        </w:rPr>
      </w:pPr>
    </w:p>
    <w:p>
      <w:pPr>
        <w:spacing w:line="720" w:lineRule="auto"/>
        <w:jc w:val="center"/>
        <w:rPr>
          <w:rFonts w:hint="eastAsia" w:eastAsia="黑体"/>
          <w:color w:val="000000"/>
          <w:sz w:val="48"/>
          <w:szCs w:val="48"/>
          <w:lang w:val="en-US" w:eastAsia="zh-CN"/>
        </w:rPr>
      </w:pPr>
      <w:r>
        <w:rPr>
          <w:rFonts w:hint="eastAsia" w:eastAsia="黑体"/>
          <w:color w:val="000000"/>
          <w:sz w:val="48"/>
          <w:szCs w:val="48"/>
          <w:lang w:val="en-US" w:eastAsia="zh-CN"/>
        </w:rPr>
        <w:t>文</w:t>
      </w:r>
    </w:p>
    <w:p>
      <w:pPr>
        <w:spacing w:line="720" w:lineRule="auto"/>
        <w:jc w:val="center"/>
        <w:rPr>
          <w:rFonts w:hint="eastAsia" w:eastAsia="黑体"/>
          <w:color w:val="000000"/>
          <w:sz w:val="48"/>
          <w:szCs w:val="48"/>
          <w:lang w:val="en-US" w:eastAsia="zh-CN"/>
        </w:rPr>
      </w:pPr>
    </w:p>
    <w:p>
      <w:pPr>
        <w:spacing w:line="720" w:lineRule="auto"/>
        <w:jc w:val="center"/>
        <w:rPr>
          <w:rFonts w:hint="default" w:eastAsia="黑体"/>
          <w:color w:val="000000"/>
          <w:sz w:val="48"/>
          <w:szCs w:val="48"/>
          <w:lang w:val="en-US" w:eastAsia="zh-CN"/>
        </w:rPr>
      </w:pPr>
      <w:r>
        <w:rPr>
          <w:rFonts w:hint="eastAsia" w:eastAsia="黑体"/>
          <w:color w:val="000000"/>
          <w:sz w:val="48"/>
          <w:szCs w:val="48"/>
          <w:lang w:val="en-US" w:eastAsia="zh-CN"/>
        </w:rPr>
        <w:t>件</w:t>
      </w:r>
    </w:p>
    <w:p>
      <w:pPr>
        <w:pStyle w:val="4"/>
        <w:spacing w:line="720" w:lineRule="auto"/>
        <w:ind w:firstLine="0"/>
        <w:jc w:val="center"/>
        <w:rPr>
          <w:rFonts w:hint="eastAsia" w:ascii="黑体" w:hAnsi="宋体" w:eastAsia="黑体"/>
          <w:color w:val="000000"/>
          <w:sz w:val="44"/>
          <w:szCs w:val="44"/>
        </w:rPr>
      </w:pPr>
    </w:p>
    <w:p>
      <w:pPr>
        <w:pStyle w:val="4"/>
        <w:spacing w:line="720" w:lineRule="auto"/>
        <w:ind w:firstLine="0"/>
        <w:jc w:val="center"/>
        <w:rPr>
          <w:rFonts w:hint="eastAsia" w:ascii="黑体" w:hAnsi="宋体" w:eastAsia="黑体"/>
          <w:color w:val="000000"/>
          <w:sz w:val="44"/>
          <w:szCs w:val="44"/>
        </w:rPr>
      </w:pPr>
    </w:p>
    <w:p>
      <w:pPr>
        <w:pStyle w:val="4"/>
        <w:spacing w:line="720" w:lineRule="auto"/>
        <w:ind w:firstLine="0"/>
        <w:jc w:val="center"/>
        <w:rPr>
          <w:rFonts w:hint="eastAsia" w:ascii="黑体" w:hAnsi="宋体" w:eastAsia="黑体"/>
          <w:color w:val="000000"/>
          <w:sz w:val="44"/>
          <w:szCs w:val="44"/>
        </w:rPr>
      </w:pPr>
      <w:r>
        <w:rPr>
          <w:rFonts w:hint="eastAsia" w:ascii="黑体" w:hAnsi="宋体" w:eastAsia="黑体"/>
          <w:color w:val="000000"/>
          <w:sz w:val="44"/>
          <w:szCs w:val="44"/>
        </w:rPr>
        <w:t>20</w:t>
      </w:r>
      <w:r>
        <w:rPr>
          <w:rFonts w:hint="eastAsia" w:ascii="黑体" w:hAnsi="宋体" w:eastAsia="黑体"/>
          <w:color w:val="000000"/>
          <w:sz w:val="44"/>
          <w:szCs w:val="44"/>
          <w:lang w:val="en-US" w:eastAsia="zh-CN"/>
        </w:rPr>
        <w:t>23</w:t>
      </w:r>
      <w:r>
        <w:rPr>
          <w:rFonts w:hint="eastAsia" w:ascii="黑体" w:hAnsi="宋体" w:eastAsia="黑体"/>
          <w:color w:val="000000"/>
          <w:sz w:val="44"/>
          <w:szCs w:val="44"/>
        </w:rPr>
        <w:t>年</w:t>
      </w:r>
      <w:r>
        <w:rPr>
          <w:rFonts w:hint="eastAsia" w:ascii="黑体" w:hAnsi="宋体" w:eastAsia="黑体"/>
          <w:color w:val="000000"/>
          <w:sz w:val="44"/>
          <w:szCs w:val="44"/>
          <w:lang w:val="en-US" w:eastAsia="zh-CN"/>
        </w:rPr>
        <w:t>5月10</w:t>
      </w:r>
      <w:r>
        <w:rPr>
          <w:rFonts w:hint="eastAsia" w:ascii="黑体" w:hAnsi="宋体" w:eastAsia="黑体"/>
          <w:color w:val="000000"/>
          <w:sz w:val="44"/>
          <w:szCs w:val="44"/>
        </w:rPr>
        <w:t>日</w:t>
      </w:r>
    </w:p>
    <w:p>
      <w:pPr>
        <w:rPr>
          <w:rFonts w:hint="eastAsia" w:ascii="黑体" w:hAnsi="宋体" w:eastAsia="黑体"/>
          <w:color w:val="000000"/>
          <w:sz w:val="44"/>
          <w:szCs w:val="44"/>
        </w:rPr>
      </w:pPr>
      <w:r>
        <w:rPr>
          <w:rFonts w:hint="eastAsia" w:ascii="黑体" w:hAnsi="宋体" w:eastAsia="黑体"/>
          <w:color w:val="000000"/>
          <w:sz w:val="44"/>
          <w:szCs w:val="44"/>
        </w:rPr>
        <w:br w:type="page"/>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一、项目</w:t>
      </w:r>
      <w:r>
        <w:rPr>
          <w:rFonts w:hint="eastAsia" w:ascii="仿宋" w:hAnsi="仿宋" w:eastAsia="仿宋" w:cs="仿宋"/>
          <w:b/>
          <w:bCs/>
          <w:sz w:val="28"/>
          <w:szCs w:val="28"/>
          <w:highlight w:val="none"/>
          <w:lang w:val="en-US" w:eastAsia="zh-CN"/>
        </w:rPr>
        <w:t>概况</w:t>
      </w:r>
      <w:r>
        <w:rPr>
          <w:rFonts w:hint="eastAsia" w:ascii="仿宋" w:hAnsi="仿宋" w:eastAsia="仿宋" w:cs="仿宋"/>
          <w:b/>
          <w:bCs/>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i w:val="0"/>
          <w:iCs w:val="0"/>
          <w:caps w:val="0"/>
          <w:color w:val="383838"/>
          <w:spacing w:val="0"/>
          <w:sz w:val="28"/>
          <w:szCs w:val="28"/>
          <w:highlight w:val="none"/>
          <w:shd w:val="clear" w:fill="FFFFFF"/>
        </w:rPr>
        <w:t>通过招标形式，择优选择1家招标代理机构，为采购方提供招标代理服务</w:t>
      </w:r>
      <w:r>
        <w:rPr>
          <w:rFonts w:hint="eastAsia" w:ascii="仿宋" w:hAnsi="仿宋" w:eastAsia="仿宋" w:cs="仿宋"/>
          <w:i w:val="0"/>
          <w:iCs w:val="0"/>
          <w:caps w:val="0"/>
          <w:color w:val="383838"/>
          <w:spacing w:val="0"/>
          <w:sz w:val="28"/>
          <w:szCs w:val="28"/>
          <w:highlight w:val="none"/>
          <w:shd w:val="clear" w:fill="FFFFFF"/>
          <w:lang w:eastAsia="zh-CN"/>
        </w:rPr>
        <w:t>。</w:t>
      </w:r>
      <w:r>
        <w:rPr>
          <w:rFonts w:hint="eastAsia" w:ascii="仿宋" w:hAnsi="仿宋" w:eastAsia="仿宋" w:cs="仿宋"/>
          <w:sz w:val="28"/>
          <w:szCs w:val="28"/>
          <w:highlight w:val="none"/>
          <w:lang w:val="en-US" w:eastAsia="zh-CN"/>
        </w:rPr>
        <w:t>对</w:t>
      </w:r>
      <w:r>
        <w:rPr>
          <w:rFonts w:hint="eastAsia" w:ascii="仿宋" w:hAnsi="仿宋" w:eastAsia="仿宋" w:cs="仿宋"/>
          <w:sz w:val="28"/>
          <w:szCs w:val="28"/>
          <w:highlight w:val="none"/>
        </w:rPr>
        <w:t>南京鼓楼医院集团仪征医院</w:t>
      </w:r>
      <w:r>
        <w:rPr>
          <w:rFonts w:hint="eastAsia" w:ascii="仿宋" w:hAnsi="仿宋" w:eastAsia="仿宋" w:cs="仿宋"/>
          <w:sz w:val="28"/>
          <w:szCs w:val="28"/>
          <w:highlight w:val="none"/>
          <w:lang w:val="en-US" w:eastAsia="zh-CN"/>
        </w:rPr>
        <w:t>无法院内独自完成的部分工程、维保、大修项目进行代理招标</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sz w:val="28"/>
          <w:szCs w:val="28"/>
          <w:highlight w:val="none"/>
        </w:rPr>
      </w:pPr>
      <w:r>
        <w:rPr>
          <w:rFonts w:hint="eastAsia" w:ascii="仿宋" w:hAnsi="仿宋" w:eastAsia="仿宋" w:cs="仿宋"/>
          <w:b/>
          <w:bCs/>
          <w:sz w:val="28"/>
          <w:szCs w:val="28"/>
          <w:highlight w:val="none"/>
          <w:lang w:val="en-US" w:eastAsia="zh-CN"/>
        </w:rPr>
        <w:t>二、投</w:t>
      </w:r>
      <w:r>
        <w:rPr>
          <w:rFonts w:hint="eastAsia" w:ascii="仿宋" w:hAnsi="仿宋" w:eastAsia="仿宋" w:cs="仿宋"/>
          <w:b/>
          <w:bCs/>
          <w:sz w:val="28"/>
          <w:szCs w:val="28"/>
          <w:highlight w:val="none"/>
        </w:rPr>
        <w:t>标文件要</w:t>
      </w:r>
      <w:r>
        <w:rPr>
          <w:rFonts w:hint="eastAsia" w:ascii="仿宋" w:hAnsi="仿宋" w:eastAsia="仿宋" w:cs="仿宋"/>
          <w:b/>
          <w:sz w:val="28"/>
          <w:szCs w:val="28"/>
          <w:highlight w:val="none"/>
        </w:rPr>
        <w:t>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（一）投标范围</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符合政府采购法第二十二条第一款规定的条件，并提供下列材料：</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1.具有独立承担民事责任的能力；</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2.具有良好的商业信誉和健全的财务会计制度</w:t>
      </w:r>
      <w:r>
        <w:rPr>
          <w:rFonts w:hint="eastAsia" w:ascii="仿宋" w:hAnsi="仿宋" w:eastAsia="仿宋" w:cs="仿宋"/>
          <w:color w:val="auto"/>
          <w:sz w:val="28"/>
          <w:szCs w:val="28"/>
          <w:lang w:val="en-US" w:eastAsia="zh-CN"/>
        </w:rPr>
        <w:t>（提供2022年度财务报表）</w:t>
      </w:r>
      <w:r>
        <w:rPr>
          <w:rFonts w:hint="eastAsia" w:ascii="仿宋" w:hAnsi="仿宋" w:eastAsia="仿宋" w:cs="仿宋"/>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3.具有履行合同所必需的设备和专业技术能力</w:t>
      </w:r>
      <w:r>
        <w:rPr>
          <w:rFonts w:hint="eastAsia" w:ascii="仿宋" w:hAnsi="仿宋" w:eastAsia="仿宋" w:cs="仿宋"/>
          <w:color w:val="auto"/>
          <w:sz w:val="28"/>
          <w:szCs w:val="28"/>
          <w:lang w:val="en-US" w:eastAsia="zh-CN"/>
        </w:rPr>
        <w:t>（提供参与项目人员的专业技术能力证书）</w:t>
      </w:r>
      <w:r>
        <w:rPr>
          <w:rFonts w:hint="eastAsia" w:ascii="仿宋" w:hAnsi="仿宋" w:eastAsia="仿宋" w:cs="仿宋"/>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4.有依法缴纳税收和社会保障资金的良好记录</w:t>
      </w:r>
      <w:r>
        <w:rPr>
          <w:rFonts w:hint="eastAsia" w:ascii="仿宋" w:hAnsi="仿宋" w:eastAsia="仿宋" w:cs="仿宋"/>
          <w:color w:val="auto"/>
          <w:sz w:val="28"/>
          <w:szCs w:val="28"/>
          <w:lang w:val="en-US" w:eastAsia="zh-CN"/>
        </w:rPr>
        <w:t>（提供参加本次采购活动前半年内至少一个月缴纳增值税，或营业税，或企业所得税的凭据，或社会保险缴纳清单）</w:t>
      </w:r>
      <w:r>
        <w:rPr>
          <w:rFonts w:hint="eastAsia" w:ascii="仿宋" w:hAnsi="仿宋" w:eastAsia="仿宋" w:cs="仿宋"/>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5.参加政府采购活动前三年内，</w:t>
      </w:r>
      <w:r>
        <w:rPr>
          <w:rFonts w:hint="eastAsia" w:ascii="仿宋" w:hAnsi="仿宋" w:eastAsia="仿宋" w:cs="仿宋"/>
          <w:color w:val="auto"/>
          <w:sz w:val="28"/>
          <w:szCs w:val="28"/>
          <w:lang w:val="en-US" w:eastAsia="zh-CN"/>
        </w:rPr>
        <w:t>供应商没有因违法经营受到刑事处罚或者责令停产停业、吊销许可证或者执照、较大数额罚款等行政处罚（提供承诺书）</w:t>
      </w:r>
      <w:r>
        <w:rPr>
          <w:rFonts w:hint="eastAsia" w:ascii="仿宋" w:hAnsi="仿宋" w:eastAsia="仿宋" w:cs="仿宋"/>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6.法律、行政法规规定的其他条件。采购人可以根据采购项目的特殊要求，规定供应商的特定条件，但不得以不合理的条件对供应商实行差别待遇或者歧视待遇。</w:t>
      </w:r>
      <w:r>
        <w:rPr>
          <w:rFonts w:hint="eastAsia" w:ascii="仿宋" w:hAnsi="仿宋" w:eastAsia="仿宋" w:cs="仿宋"/>
          <w:color w:val="auto"/>
          <w:sz w:val="28"/>
          <w:szCs w:val="28"/>
          <w:lang w:val="en-US" w:eastAsia="zh-CN"/>
        </w:rPr>
        <w:t>拟投入的项目负责人应持有注册造价工程师执业资格（或一级注册造价工程师职业资格）等证书。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注：以上材料复印件均加盖公司公章。</w:t>
      </w:r>
    </w:p>
    <w:p>
      <w:pPr>
        <w:pStyle w:val="7"/>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招标代理实施方案</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根据招标代理实施方案（包括但不限于：招标代理岗位职责综合、质量保证措施综合评分、服务</w:t>
      </w:r>
      <w:r>
        <w:rPr>
          <w:rFonts w:hint="eastAsia" w:ascii="仿宋" w:hAnsi="仿宋" w:eastAsia="仿宋" w:cs="仿宋"/>
          <w:kern w:val="0"/>
          <w:sz w:val="28"/>
          <w:szCs w:val="28"/>
          <w:highlight w:val="none"/>
          <w:lang w:eastAsia="zh-CN"/>
        </w:rPr>
        <w:t>误差率承诺</w:t>
      </w:r>
      <w:r>
        <w:rPr>
          <w:rFonts w:hint="eastAsia" w:ascii="仿宋" w:hAnsi="仿宋" w:eastAsia="仿宋" w:cs="仿宋"/>
          <w:kern w:val="0"/>
          <w:sz w:val="28"/>
          <w:szCs w:val="28"/>
          <w:highlight w:val="none"/>
        </w:rPr>
        <w:t>及措施等相关内容）。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）拒绝下述供应商参加本次采购活动：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供应商单位负责人为同一人或</w:t>
      </w:r>
      <w:r>
        <w:rPr>
          <w:rFonts w:hint="eastAsia" w:ascii="仿宋" w:hAnsi="仿宋" w:eastAsia="仿宋" w:cs="仿宋"/>
          <w:sz w:val="28"/>
          <w:szCs w:val="28"/>
        </w:rPr>
        <w:t>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）招标文件的组成</w:t>
      </w:r>
    </w:p>
    <w:p>
      <w:pPr>
        <w:keepNext w:val="0"/>
        <w:keepLines w:val="0"/>
        <w:pageBreakBefore w:val="0"/>
        <w:widowControl w:val="0"/>
        <w:numPr>
          <w:ilvl w:val="0"/>
          <w:numId w:val="1"/>
        </w:numPr>
        <w:tabs>
          <w:tab w:val="left" w:pos="851"/>
          <w:tab w:val="left" w:pos="993"/>
          <w:tab w:val="left" w:pos="1134"/>
          <w:tab w:val="clear" w:pos="1017"/>
        </w:tabs>
        <w:kinsoku/>
        <w:wordWrap/>
        <w:overflowPunct/>
        <w:topLinePunct w:val="0"/>
        <w:autoSpaceDE/>
        <w:autoSpaceDN/>
        <w:bidi w:val="0"/>
        <w:adjustRightInd w:val="0"/>
        <w:snapToGrid w:val="0"/>
        <w:spacing w:line="440" w:lineRule="exact"/>
        <w:ind w:left="0" w:firstLine="567"/>
        <w:textAlignment w:val="auto"/>
        <w:rPr>
          <w:rFonts w:hint="eastAsia" w:ascii="仿宋" w:hAnsi="仿宋" w:eastAsia="仿宋" w:cs="仿宋"/>
          <w:sz w:val="28"/>
          <w:szCs w:val="28"/>
        </w:rPr>
      </w:pPr>
      <w:r>
        <w:rPr>
          <w:rFonts w:hint="eastAsia" w:ascii="仿宋" w:hAnsi="仿宋" w:eastAsia="仿宋" w:cs="仿宋"/>
          <w:sz w:val="28"/>
          <w:szCs w:val="28"/>
        </w:rPr>
        <w:t>招标文件包括本文件及所有发出的修改澄清通知。</w:t>
      </w:r>
    </w:p>
    <w:p>
      <w:pPr>
        <w:keepNext w:val="0"/>
        <w:keepLines w:val="0"/>
        <w:pageBreakBefore w:val="0"/>
        <w:widowControl w:val="0"/>
        <w:numPr>
          <w:ilvl w:val="0"/>
          <w:numId w:val="1"/>
        </w:numPr>
        <w:tabs>
          <w:tab w:val="left" w:pos="0"/>
          <w:tab w:val="left" w:pos="993"/>
          <w:tab w:val="left" w:pos="1134"/>
          <w:tab w:val="clear" w:pos="1017"/>
        </w:tabs>
        <w:kinsoku/>
        <w:wordWrap/>
        <w:overflowPunct/>
        <w:topLinePunct w:val="0"/>
        <w:autoSpaceDE/>
        <w:autoSpaceDN/>
        <w:bidi w:val="0"/>
        <w:adjustRightInd w:val="0"/>
        <w:snapToGrid w:val="0"/>
        <w:spacing w:line="440" w:lineRule="exact"/>
        <w:ind w:left="0" w:firstLine="567"/>
        <w:textAlignment w:val="auto"/>
        <w:rPr>
          <w:rFonts w:hint="eastAsia" w:ascii="仿宋" w:hAnsi="仿宋" w:eastAsia="仿宋" w:cs="仿宋"/>
          <w:sz w:val="28"/>
          <w:szCs w:val="28"/>
        </w:rPr>
      </w:pPr>
      <w:r>
        <w:rPr>
          <w:rFonts w:hint="eastAsia" w:ascii="仿宋" w:hAnsi="仿宋" w:eastAsia="仿宋" w:cs="仿宋"/>
          <w:sz w:val="28"/>
          <w:szCs w:val="28"/>
        </w:rPr>
        <w:t>投标人应认真审阅招标文件所有的内容，如果投标人的投标文件不能实质性地响应招标文件要求，责任由投标人自负。</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）招标文件的澄清</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7"/>
        <w:textAlignment w:val="auto"/>
        <w:rPr>
          <w:rFonts w:hint="eastAsia" w:ascii="仿宋" w:hAnsi="仿宋" w:eastAsia="仿宋" w:cs="仿宋"/>
          <w:sz w:val="28"/>
          <w:szCs w:val="28"/>
        </w:rPr>
      </w:pPr>
      <w:r>
        <w:rPr>
          <w:rFonts w:hint="eastAsia" w:ascii="仿宋" w:hAnsi="仿宋" w:eastAsia="仿宋" w:cs="仿宋"/>
          <w:sz w:val="28"/>
          <w:szCs w:val="28"/>
        </w:rPr>
        <w:t>1、本工程招标文件的澄清采用下列方式：</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投标人在收到招标文件后，若有疑问需要澄清，投标截止期前5日内以书面或邮件形式向招标人提出，招标人将以书面或邮件形式予以解答。</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）招标文件的修改</w:t>
      </w:r>
    </w:p>
    <w:p>
      <w:pPr>
        <w:keepNext w:val="0"/>
        <w:keepLines w:val="0"/>
        <w:pageBreakBefore w:val="0"/>
        <w:widowControl w:val="0"/>
        <w:numPr>
          <w:ilvl w:val="0"/>
          <w:numId w:val="2"/>
        </w:numPr>
        <w:tabs>
          <w:tab w:val="left" w:pos="0"/>
          <w:tab w:val="left" w:pos="1134"/>
        </w:tabs>
        <w:kinsoku/>
        <w:wordWrap/>
        <w:overflowPunct/>
        <w:topLinePunct w:val="0"/>
        <w:autoSpaceDE/>
        <w:autoSpaceDN/>
        <w:bidi w:val="0"/>
        <w:adjustRightInd w:val="0"/>
        <w:snapToGrid w:val="0"/>
        <w:spacing w:line="440" w:lineRule="exact"/>
        <w:ind w:left="63" w:leftChars="0" w:firstLine="567" w:firstLineChars="0"/>
        <w:textAlignment w:val="auto"/>
        <w:rPr>
          <w:rFonts w:hint="eastAsia" w:ascii="仿宋" w:hAnsi="仿宋" w:eastAsia="仿宋" w:cs="仿宋"/>
          <w:sz w:val="28"/>
          <w:szCs w:val="28"/>
        </w:rPr>
      </w:pPr>
      <w:r>
        <w:rPr>
          <w:rFonts w:hint="eastAsia" w:ascii="仿宋" w:hAnsi="仿宋" w:eastAsia="仿宋" w:cs="仿宋"/>
          <w:sz w:val="28"/>
          <w:szCs w:val="28"/>
        </w:rPr>
        <w:t>在投标截止日期前，招标人都可能会以书面通知的方式修改招标文件。修改通知作为招标文件的组成部分，对投标人起同等约束作用。</w:t>
      </w:r>
    </w:p>
    <w:p>
      <w:pPr>
        <w:keepNext w:val="0"/>
        <w:keepLines w:val="0"/>
        <w:pageBreakBefore w:val="0"/>
        <w:widowControl w:val="0"/>
        <w:numPr>
          <w:ilvl w:val="0"/>
          <w:numId w:val="2"/>
        </w:numPr>
        <w:tabs>
          <w:tab w:val="left" w:pos="0"/>
          <w:tab w:val="left" w:pos="851"/>
          <w:tab w:val="left" w:pos="993"/>
          <w:tab w:val="left" w:pos="1134"/>
          <w:tab w:val="clear" w:pos="1002"/>
        </w:tabs>
        <w:kinsoku/>
        <w:wordWrap/>
        <w:overflowPunct/>
        <w:topLinePunct w:val="0"/>
        <w:autoSpaceDE/>
        <w:autoSpaceDN/>
        <w:bidi w:val="0"/>
        <w:adjustRightInd w:val="0"/>
        <w:snapToGrid w:val="0"/>
        <w:spacing w:line="440" w:lineRule="exact"/>
        <w:ind w:left="63" w:leftChars="0" w:firstLine="567" w:firstLineChars="0"/>
        <w:textAlignment w:val="auto"/>
        <w:rPr>
          <w:rFonts w:hint="eastAsia" w:ascii="仿宋" w:hAnsi="仿宋" w:eastAsia="仿宋" w:cs="仿宋"/>
          <w:sz w:val="28"/>
          <w:szCs w:val="28"/>
        </w:rPr>
      </w:pPr>
      <w:r>
        <w:rPr>
          <w:rFonts w:hint="eastAsia" w:ascii="仿宋" w:hAnsi="仿宋" w:eastAsia="仿宋" w:cs="仿宋"/>
          <w:sz w:val="28"/>
          <w:szCs w:val="28"/>
        </w:rPr>
        <w:t>为使投标人在编制投标文件时把修改通知内容考虑进去，招标人可以酌情延长递交投标文件的截止日期。具体时间将在修改通知中写明，修改通知将送达每一投标人。</w:t>
      </w:r>
    </w:p>
    <w:p>
      <w:pPr>
        <w:keepNext w:val="0"/>
        <w:keepLines w:val="0"/>
        <w:pageBreakBefore w:val="0"/>
        <w:widowControl w:val="0"/>
        <w:numPr>
          <w:ilvl w:val="0"/>
          <w:numId w:val="2"/>
        </w:numPr>
        <w:tabs>
          <w:tab w:val="left" w:pos="0"/>
          <w:tab w:val="left" w:pos="851"/>
          <w:tab w:val="left" w:pos="993"/>
          <w:tab w:val="left" w:pos="1134"/>
          <w:tab w:val="clear" w:pos="1002"/>
        </w:tabs>
        <w:kinsoku/>
        <w:wordWrap/>
        <w:overflowPunct/>
        <w:topLinePunct w:val="0"/>
        <w:autoSpaceDE/>
        <w:autoSpaceDN/>
        <w:bidi w:val="0"/>
        <w:adjustRightInd w:val="0"/>
        <w:snapToGrid w:val="0"/>
        <w:spacing w:line="440" w:lineRule="exact"/>
        <w:ind w:left="63" w:leftChars="0" w:firstLine="567" w:firstLineChars="0"/>
        <w:textAlignment w:val="auto"/>
        <w:rPr>
          <w:rFonts w:hint="eastAsia" w:ascii="仿宋" w:hAnsi="仿宋" w:eastAsia="仿宋" w:cs="仿宋"/>
          <w:color w:val="auto"/>
          <w:sz w:val="28"/>
          <w:szCs w:val="28"/>
        </w:rPr>
      </w:pPr>
      <w:r>
        <w:rPr>
          <w:rFonts w:hint="eastAsia" w:ascii="仿宋" w:hAnsi="仿宋" w:eastAsia="仿宋" w:cs="仿宋"/>
          <w:sz w:val="28"/>
          <w:szCs w:val="28"/>
        </w:rPr>
        <w:t>当招标文件、修改通知内容相互矛盾时，以最后发出的通知</w:t>
      </w:r>
      <w:r>
        <w:rPr>
          <w:rFonts w:hint="eastAsia" w:ascii="仿宋" w:hAnsi="仿宋" w:eastAsia="仿宋" w:cs="仿宋"/>
          <w:color w:val="auto"/>
          <w:sz w:val="28"/>
          <w:szCs w:val="28"/>
        </w:rPr>
        <w:t>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w:t>
      </w:r>
      <w:r>
        <w:rPr>
          <w:rFonts w:hint="eastAsia" w:ascii="仿宋" w:hAnsi="仿宋" w:eastAsia="仿宋" w:cs="仿宋"/>
          <w:b/>
          <w:bCs/>
          <w:sz w:val="28"/>
          <w:szCs w:val="28"/>
          <w:lang w:val="en-US" w:eastAsia="zh-CN"/>
        </w:rPr>
        <w:t>、服务要求及付款方式</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符合国家规范及行业标准，</w:t>
      </w:r>
      <w:r>
        <w:rPr>
          <w:rFonts w:hint="eastAsia" w:ascii="仿宋" w:hAnsi="仿宋" w:eastAsia="仿宋" w:cs="仿宋"/>
          <w:sz w:val="28"/>
          <w:szCs w:val="28"/>
          <w:lang w:val="en-US" w:eastAsia="zh-CN"/>
        </w:rPr>
        <w:t>投标价中包含委托代理事项的全部价款。</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收费标准：招标代理收费（含招标控制价审核费用）以《苏招协[2</w:t>
      </w:r>
      <w:r>
        <w:rPr>
          <w:rFonts w:hint="eastAsia" w:ascii="仿宋" w:hAnsi="仿宋" w:eastAsia="仿宋" w:cs="仿宋"/>
          <w:sz w:val="28"/>
          <w:szCs w:val="28"/>
          <w:highlight w:val="none"/>
          <w:lang w:val="en-US" w:eastAsia="zh-CN"/>
        </w:rPr>
        <w:t>022]002招标代理服务收费指导意见》的收费标准的70%作为最高限价。</w:t>
      </w:r>
      <w:r>
        <w:rPr>
          <w:rFonts w:hint="eastAsia" w:ascii="仿宋" w:hAnsi="仿宋" w:eastAsia="仿宋" w:cs="仿宋"/>
          <w:b/>
          <w:bCs/>
          <w:sz w:val="28"/>
          <w:szCs w:val="28"/>
          <w:highlight w:val="none"/>
          <w:lang w:val="en-US" w:eastAsia="zh-CN"/>
        </w:rPr>
        <w:t>投标单位在此基础上按优惠折扣进行报价。</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2.招标代理服务费</w:t>
      </w:r>
      <w:r>
        <w:rPr>
          <w:rFonts w:hint="eastAsia" w:ascii="仿宋" w:hAnsi="仿宋" w:eastAsia="仿宋" w:cs="仿宋"/>
          <w:sz w:val="28"/>
          <w:szCs w:val="28"/>
          <w:highlight w:val="none"/>
        </w:rPr>
        <w:t>支付方式</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招投标等项目结束后的3个月内，按合同规定内容进行付款</w:t>
      </w:r>
      <w:r>
        <w:rPr>
          <w:rFonts w:hint="eastAsia" w:ascii="仿宋" w:hAnsi="仿宋" w:eastAsia="仿宋" w:cs="仿宋"/>
          <w:sz w:val="28"/>
          <w:szCs w:val="28"/>
          <w:highlight w:val="none"/>
        </w:rPr>
        <w:t>。付款必须凭税务部门的发票支付。</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四、投标文件的递交</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（一）投标文件的密封与标志</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7"/>
        <w:textAlignment w:val="auto"/>
        <w:rPr>
          <w:rFonts w:hint="eastAsia" w:ascii="仿宋" w:hAnsi="仿宋" w:eastAsia="仿宋" w:cs="仿宋"/>
          <w:sz w:val="28"/>
          <w:szCs w:val="28"/>
        </w:rPr>
      </w:pPr>
      <w:r>
        <w:rPr>
          <w:rFonts w:hint="eastAsia" w:ascii="仿宋" w:hAnsi="仿宋" w:eastAsia="仿宋" w:cs="仿宋"/>
          <w:sz w:val="28"/>
          <w:szCs w:val="28"/>
        </w:rPr>
        <w:t>1、密封：投标人必须将投标文件密封提交，将投标文件统一密封</w:t>
      </w:r>
      <w:r>
        <w:rPr>
          <w:rFonts w:hint="eastAsia" w:ascii="仿宋" w:hAnsi="仿宋" w:eastAsia="仿宋" w:cs="仿宋"/>
          <w:sz w:val="28"/>
          <w:szCs w:val="28"/>
          <w:lang w:eastAsia="zh-CN"/>
        </w:rPr>
        <w:t>（</w:t>
      </w:r>
      <w:r>
        <w:rPr>
          <w:rFonts w:hint="eastAsia" w:ascii="仿宋" w:hAnsi="仿宋" w:eastAsia="仿宋" w:cs="仿宋"/>
          <w:sz w:val="28"/>
          <w:szCs w:val="28"/>
        </w:rPr>
        <w:t>或将正本和副本分别密封</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7"/>
        <w:textAlignment w:val="auto"/>
        <w:rPr>
          <w:rFonts w:hint="eastAsia" w:ascii="仿宋" w:hAnsi="仿宋" w:eastAsia="仿宋" w:cs="仿宋"/>
          <w:sz w:val="28"/>
          <w:szCs w:val="28"/>
        </w:rPr>
      </w:pPr>
      <w:r>
        <w:rPr>
          <w:rFonts w:hint="eastAsia" w:ascii="仿宋" w:hAnsi="仿宋" w:eastAsia="仿宋" w:cs="仿宋"/>
          <w:sz w:val="28"/>
          <w:szCs w:val="28"/>
        </w:rPr>
        <w:t>2．标志：投标人正确标明“正本”或“副本”，所有封袋上都写明招标</w:t>
      </w:r>
      <w:r>
        <w:rPr>
          <w:rFonts w:hint="eastAsia" w:ascii="仿宋" w:hAnsi="仿宋" w:eastAsia="仿宋" w:cs="仿宋"/>
          <w:sz w:val="28"/>
          <w:szCs w:val="28"/>
          <w:lang w:val="en-US" w:eastAsia="zh-CN"/>
        </w:rPr>
        <w:t>单位</w:t>
      </w:r>
      <w:r>
        <w:rPr>
          <w:rFonts w:hint="eastAsia" w:ascii="仿宋" w:hAnsi="仿宋" w:eastAsia="仿宋" w:cs="仿宋"/>
          <w:sz w:val="28"/>
          <w:szCs w:val="28"/>
        </w:rPr>
        <w:t>名称和</w:t>
      </w:r>
      <w:r>
        <w:rPr>
          <w:rFonts w:hint="eastAsia" w:ascii="仿宋" w:hAnsi="仿宋" w:eastAsia="仿宋" w:cs="仿宋"/>
          <w:sz w:val="28"/>
          <w:szCs w:val="28"/>
          <w:lang w:val="en-US" w:eastAsia="zh-CN"/>
        </w:rPr>
        <w:t>项目</w:t>
      </w:r>
      <w:r>
        <w:rPr>
          <w:rFonts w:hint="eastAsia" w:ascii="仿宋" w:hAnsi="仿宋" w:eastAsia="仿宋" w:cs="仿宋"/>
          <w:sz w:val="28"/>
          <w:szCs w:val="28"/>
        </w:rPr>
        <w:t>名称以及投标人的名称。技术部分和商务部分可以合订，一式二份，其中正本一份、副本一份，正本与副本有不一致处，以正本为准。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（二）投标截止期</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1、投标截止时间：202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w:t>
      </w:r>
      <w:r>
        <w:rPr>
          <w:rFonts w:hint="eastAsia" w:ascii="仿宋" w:hAnsi="仿宋" w:eastAsia="仿宋" w:cs="仿宋"/>
          <w:sz w:val="28"/>
          <w:szCs w:val="28"/>
          <w:lang w:val="en-US" w:eastAsia="zh-CN"/>
        </w:rPr>
        <w:t>11</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投标地点：南京鼓楼医院集团仪征医院 </w:t>
      </w:r>
      <w:r>
        <w:rPr>
          <w:rFonts w:hint="eastAsia" w:ascii="仿宋" w:hAnsi="仿宋" w:eastAsia="仿宋" w:cs="仿宋"/>
          <w:sz w:val="28"/>
          <w:szCs w:val="28"/>
          <w:lang w:val="en-US" w:eastAsia="zh-CN"/>
        </w:rPr>
        <w:t>医学装备与后勤保障部</w:t>
      </w:r>
      <w:r>
        <w:rPr>
          <w:rFonts w:hint="eastAsia" w:ascii="仿宋" w:hAnsi="仿宋" w:eastAsia="仿宋" w:cs="仿宋"/>
          <w:sz w:val="28"/>
          <w:szCs w:val="28"/>
        </w:rPr>
        <w:t>。</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投标人应在投标须知中规定的时间之前将投标文件递交到指定地点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邮寄或送达</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2、招标人可以按本文件规定修改通知的方式，酌情延长递交投标文件的截止日期。在上述情况下，招标人与投标人以前的投标截止期方面的全部权力、责任和义务，将适用于延长后新的投标截止期。</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3、超过投标截止期送达的投标文件将被拒绝并原封退给投标人。</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4、提交投标文件的投标人少于三个的，招标人将</w:t>
      </w:r>
      <w:bookmarkStart w:id="0" w:name="_GoBack"/>
      <w:bookmarkEnd w:id="0"/>
      <w:r>
        <w:rPr>
          <w:rFonts w:hint="eastAsia" w:ascii="仿宋" w:hAnsi="仿宋" w:eastAsia="仿宋" w:cs="仿宋"/>
          <w:sz w:val="28"/>
          <w:szCs w:val="28"/>
        </w:rPr>
        <w:t>依法重新招标。</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五、评标及中标</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7"/>
        <w:textAlignment w:val="auto"/>
        <w:rPr>
          <w:rFonts w:hint="eastAsia" w:ascii="仿宋" w:hAnsi="仿宋" w:eastAsia="仿宋" w:cs="仿宋"/>
          <w:sz w:val="28"/>
          <w:szCs w:val="28"/>
        </w:rPr>
      </w:pPr>
      <w:r>
        <w:rPr>
          <w:rFonts w:hint="eastAsia" w:ascii="仿宋" w:hAnsi="仿宋" w:eastAsia="仿宋" w:cs="仿宋"/>
          <w:sz w:val="28"/>
          <w:szCs w:val="28"/>
        </w:rPr>
        <w:t>1、开标时，由投标单位授权代表检查投标文件的密封情况，投标文件未按照招标文件的要求予以密封的，将作为无效投标文件，退回投标人。</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7"/>
        <w:textAlignment w:val="auto"/>
        <w:rPr>
          <w:rFonts w:hint="eastAsia" w:ascii="仿宋" w:hAnsi="仿宋" w:eastAsia="仿宋" w:cs="仿宋"/>
          <w:sz w:val="28"/>
          <w:szCs w:val="28"/>
        </w:rPr>
      </w:pPr>
      <w:r>
        <w:rPr>
          <w:rFonts w:hint="eastAsia" w:ascii="仿宋" w:hAnsi="仿宋" w:eastAsia="仿宋" w:cs="仿宋"/>
          <w:sz w:val="28"/>
          <w:szCs w:val="28"/>
        </w:rPr>
        <w:t>2、经确认无误后，由工作人员当众拆封，宣读投标人名称、投标价格和其他招标人认为有必要的内容。</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3、招标人在招标文件要求提交投标文件的截止时间前收到的所有投标文件。</w:t>
      </w:r>
    </w:p>
    <w:p>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4、投标文件有下列情形之一的，招标人不予受理：</w:t>
      </w:r>
    </w:p>
    <w:p>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（1）逾期送达的或者未送达指定地点的；</w:t>
      </w:r>
    </w:p>
    <w:p>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（2）未按招标文件要求密封的。</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5、评标方式：综合评议打分评标。</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经初步评审合格的投标文件，评标委员会根据招标文件确定的评标标准和方法，对其技术部分和经济部分作进一步评审。</w:t>
      </w:r>
    </w:p>
    <w:p>
      <w:pPr>
        <w:rPr>
          <w:rFonts w:hint="eastAsia" w:ascii="宋体" w:hAnsi="宋体" w:eastAsia="宋体" w:cs="宋体"/>
          <w:sz w:val="24"/>
          <w:szCs w:val="24"/>
          <w:highlight w:val="white"/>
          <w:lang w:bidi="ar"/>
        </w:rPr>
      </w:pPr>
      <w:r>
        <w:rPr>
          <w:rFonts w:hint="eastAsia" w:ascii="宋体" w:hAnsi="宋体" w:eastAsia="宋体" w:cs="宋体"/>
          <w:sz w:val="24"/>
          <w:szCs w:val="24"/>
          <w:highlight w:val="white"/>
          <w:lang w:bidi="ar"/>
        </w:rPr>
        <w:br w:type="page"/>
      </w:r>
    </w:p>
    <w:p>
      <w:pPr>
        <w:pStyle w:val="2"/>
        <w:rPr>
          <w:rFonts w:hint="eastAsia"/>
        </w:rPr>
      </w:pPr>
    </w:p>
    <w:tbl>
      <w:tblPr>
        <w:tblStyle w:val="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14"/>
        <w:gridCol w:w="686"/>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szCs w:val="21"/>
              </w:rPr>
            </w:pPr>
            <w:r>
              <w:rPr>
                <w:rFonts w:hint="eastAsia" w:ascii="宋体" w:hAnsi="宋体"/>
                <w:b/>
                <w:szCs w:val="21"/>
              </w:rPr>
              <w:t>序号</w:t>
            </w:r>
          </w:p>
        </w:tc>
        <w:tc>
          <w:tcPr>
            <w:tcW w:w="1114"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210" w:leftChars="100"/>
              <w:rPr>
                <w:rFonts w:ascii="宋体" w:hAnsi="宋体"/>
                <w:b/>
                <w:szCs w:val="21"/>
              </w:rPr>
            </w:pPr>
            <w:r>
              <w:rPr>
                <w:rFonts w:hint="eastAsia" w:ascii="宋体" w:hAnsi="宋体"/>
                <w:b/>
                <w:szCs w:val="21"/>
              </w:rPr>
              <w:t>评分</w:t>
            </w:r>
          </w:p>
          <w:p>
            <w:pPr>
              <w:spacing w:line="280" w:lineRule="exact"/>
              <w:ind w:left="210" w:leftChars="100"/>
              <w:rPr>
                <w:rFonts w:ascii="宋体" w:hAnsi="宋体"/>
                <w:b/>
                <w:szCs w:val="21"/>
              </w:rPr>
            </w:pPr>
            <w:r>
              <w:rPr>
                <w:rFonts w:hint="eastAsia" w:ascii="宋体" w:hAnsi="宋体"/>
                <w:b/>
                <w:szCs w:val="21"/>
              </w:rPr>
              <w:t>项目</w:t>
            </w:r>
          </w:p>
        </w:tc>
        <w:tc>
          <w:tcPr>
            <w:tcW w:w="68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szCs w:val="21"/>
              </w:rPr>
            </w:pPr>
            <w:r>
              <w:rPr>
                <w:rFonts w:hint="eastAsia" w:ascii="宋体" w:hAnsi="宋体"/>
                <w:b/>
                <w:szCs w:val="21"/>
              </w:rPr>
              <w:t>分值</w:t>
            </w:r>
          </w:p>
        </w:tc>
        <w:tc>
          <w:tcPr>
            <w:tcW w:w="661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Cs w:val="21"/>
              </w:rPr>
            </w:pPr>
            <w:r>
              <w:rPr>
                <w:rFonts w:hint="eastAsia" w:ascii="宋体" w:hAnsi="宋体"/>
                <w:szCs w:val="21"/>
              </w:rPr>
              <w:t>一</w:t>
            </w:r>
          </w:p>
        </w:tc>
        <w:tc>
          <w:tcPr>
            <w:tcW w:w="111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eastAsia="宋体"/>
                <w:szCs w:val="21"/>
                <w:lang w:eastAsia="zh-CN"/>
              </w:rPr>
            </w:pPr>
            <w:r>
              <w:rPr>
                <w:rFonts w:hint="eastAsia" w:ascii="宋体" w:hAnsi="宋体"/>
                <w:szCs w:val="21"/>
                <w:lang w:eastAsia="zh-CN"/>
              </w:rPr>
              <w:t>价格分</w:t>
            </w:r>
          </w:p>
        </w:tc>
        <w:tc>
          <w:tcPr>
            <w:tcW w:w="68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Cs w:val="21"/>
              </w:rPr>
            </w:pPr>
            <w:r>
              <w:rPr>
                <w:rFonts w:hint="eastAsia" w:ascii="宋体" w:hAnsi="宋体"/>
                <w:szCs w:val="21"/>
                <w:lang w:val="en-US" w:eastAsia="zh-CN"/>
              </w:rPr>
              <w:t>60</w:t>
            </w:r>
            <w:r>
              <w:rPr>
                <w:rFonts w:hint="eastAsia" w:ascii="宋体" w:hAnsi="宋体"/>
                <w:szCs w:val="21"/>
              </w:rPr>
              <w:t>分</w:t>
            </w:r>
          </w:p>
        </w:tc>
        <w:tc>
          <w:tcPr>
            <w:tcW w:w="6612"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hint="eastAsia" w:ascii="Arial" w:hAnsi="Arial" w:eastAsia="宋体" w:cs="Arial"/>
                <w:kern w:val="0"/>
                <w:szCs w:val="21"/>
                <w:lang w:eastAsia="zh-CN"/>
              </w:rPr>
            </w:pPr>
            <w:r>
              <w:rPr>
                <w:rFonts w:hint="eastAsia" w:ascii="宋体" w:hAnsi="宋体"/>
                <w:kern w:val="0"/>
                <w:szCs w:val="21"/>
              </w:rPr>
              <w:t>招</w:t>
            </w:r>
            <w:r>
              <w:rPr>
                <w:rFonts w:hint="eastAsia" w:ascii="Arial" w:hAnsi="Arial" w:eastAsia="宋体" w:cs="Arial"/>
                <w:kern w:val="0"/>
                <w:szCs w:val="21"/>
              </w:rPr>
              <w:t>标代理收费（含招标控制价审核费用）按</w:t>
            </w:r>
            <w:r>
              <w:rPr>
                <w:rFonts w:hint="eastAsia" w:ascii="Arial" w:hAnsi="Arial" w:eastAsia="宋体" w:cs="Arial"/>
                <w:kern w:val="0"/>
                <w:szCs w:val="21"/>
                <w:lang w:eastAsia="zh-CN"/>
              </w:rPr>
              <w:t>《</w:t>
            </w:r>
            <w:r>
              <w:rPr>
                <w:rFonts w:hint="eastAsia" w:ascii="Arial" w:hAnsi="Arial" w:eastAsia="宋体" w:cs="Arial"/>
                <w:kern w:val="0"/>
                <w:szCs w:val="21"/>
              </w:rPr>
              <w:t>苏招协[2022]002招标代理服务收费指导意见</w:t>
            </w:r>
            <w:r>
              <w:rPr>
                <w:rFonts w:hint="eastAsia" w:ascii="Arial" w:hAnsi="Arial" w:eastAsia="宋体" w:cs="Arial"/>
                <w:kern w:val="0"/>
                <w:szCs w:val="21"/>
                <w:lang w:eastAsia="zh-CN"/>
              </w:rPr>
              <w:t>》</w:t>
            </w:r>
            <w:r>
              <w:rPr>
                <w:rFonts w:hint="eastAsia" w:ascii="Arial" w:hAnsi="Arial" w:eastAsia="宋体" w:cs="Arial"/>
                <w:kern w:val="0"/>
                <w:szCs w:val="21"/>
              </w:rPr>
              <w:t>为参照，在此基础上进行报价</w:t>
            </w:r>
            <w:r>
              <w:rPr>
                <w:rFonts w:hint="eastAsia" w:ascii="Arial" w:hAnsi="Arial" w:eastAsia="宋体" w:cs="Arial"/>
                <w:kern w:val="0"/>
                <w:szCs w:val="21"/>
                <w:lang w:eastAsia="zh-CN"/>
              </w:rPr>
              <w:t>。</w:t>
            </w:r>
          </w:p>
          <w:p>
            <w:pPr>
              <w:spacing w:line="280" w:lineRule="exact"/>
              <w:rPr>
                <w:rFonts w:ascii="宋体" w:hAnsi="宋体"/>
                <w:szCs w:val="21"/>
              </w:rPr>
            </w:pPr>
            <w:r>
              <w:rPr>
                <w:rFonts w:ascii="Arial" w:hAnsi="Arial" w:eastAsia="宋体" w:cs="Arial"/>
                <w:kern w:val="0"/>
                <w:szCs w:val="21"/>
              </w:rPr>
              <w:t>满</w:t>
            </w:r>
            <w:r>
              <w:rPr>
                <w:rFonts w:ascii="Arial" w:hAnsi="Arial" w:cs="Arial"/>
                <w:kern w:val="0"/>
                <w:szCs w:val="21"/>
              </w:rPr>
              <w:t>足招标文件要求且投标价格最低的投标报价为评标基</w:t>
            </w:r>
            <w:r>
              <w:rPr>
                <w:rFonts w:hint="eastAsia" w:ascii="Arial" w:hAnsi="Arial" w:cs="Arial"/>
                <w:kern w:val="0"/>
                <w:szCs w:val="21"/>
              </w:rPr>
              <w:t>准价，其价格分为满分</w:t>
            </w:r>
            <w:r>
              <w:rPr>
                <w:rFonts w:hint="eastAsia" w:ascii="宋体" w:hAnsi="宋体"/>
                <w:kern w:val="0"/>
                <w:szCs w:val="21"/>
              </w:rPr>
              <w:t>；优惠折扣每高</w:t>
            </w:r>
            <w:r>
              <w:rPr>
                <w:rFonts w:ascii="宋体" w:hAnsi="宋体"/>
                <w:kern w:val="0"/>
                <w:szCs w:val="21"/>
              </w:rPr>
              <w:t>1％则相应扣除0.5分，不足1%的按1%计算得分</w:t>
            </w:r>
            <w:r>
              <w:rPr>
                <w:rFonts w:hint="eastAsia" w:ascii="宋体" w:hAnsi="宋体"/>
                <w:kern w:val="0"/>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widowControl/>
              <w:spacing w:line="375" w:lineRule="atLeast"/>
              <w:jc w:val="center"/>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二</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spacing w:line="375" w:lineRule="atLeast"/>
              <w:jc w:val="center"/>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人员配置</w:t>
            </w:r>
          </w:p>
        </w:tc>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10分</w:t>
            </w:r>
          </w:p>
        </w:tc>
        <w:tc>
          <w:tcPr>
            <w:tcW w:w="66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Cs w:val="21"/>
              </w:rPr>
            </w:pPr>
            <w:r>
              <w:rPr>
                <w:rFonts w:hint="eastAsia" w:ascii="宋体" w:hAnsi="宋体"/>
                <w:kern w:val="0"/>
                <w:szCs w:val="21"/>
              </w:rPr>
              <w:t>项目组成员（</w:t>
            </w:r>
            <w:r>
              <w:rPr>
                <w:rFonts w:hint="eastAsia" w:ascii="宋体" w:hAnsi="宋体"/>
                <w:kern w:val="0"/>
                <w:szCs w:val="21"/>
                <w:lang w:eastAsia="zh-CN"/>
              </w:rPr>
              <w:t>不含</w:t>
            </w:r>
            <w:r>
              <w:rPr>
                <w:rFonts w:hint="eastAsia" w:ascii="宋体" w:hAnsi="宋体"/>
                <w:kern w:val="0"/>
                <w:szCs w:val="21"/>
              </w:rPr>
              <w:t>项目负责人）每有1名注册造价工程师执业资格（或一级注册造价工程师职业资格）证书得1分，同时具备高级职称加1分，本项最多得10分。（人员需提供证书复印件加盖公章；并提供供应商为其缴纳的近6个月社保证明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2" w:type="dxa"/>
            <w:tcBorders>
              <w:top w:val="single" w:color="auto" w:sz="4" w:space="0"/>
              <w:left w:val="single" w:color="auto" w:sz="4" w:space="0"/>
              <w:right w:val="single" w:color="auto" w:sz="4" w:space="0"/>
            </w:tcBorders>
            <w:noWrap/>
            <w:vAlign w:val="center"/>
          </w:tcPr>
          <w:p>
            <w:pPr>
              <w:widowControl/>
              <w:spacing w:line="375" w:lineRule="atLeast"/>
              <w:jc w:val="center"/>
              <w:rPr>
                <w:rFonts w:ascii="宋体" w:hAnsi="宋体" w:cs="宋体"/>
                <w:snapToGrid w:val="0"/>
                <w:kern w:val="0"/>
                <w:szCs w:val="21"/>
              </w:rPr>
            </w:pPr>
            <w:r>
              <w:rPr>
                <w:rFonts w:hint="eastAsia" w:ascii="宋体" w:hAnsi="宋体" w:cs="宋体"/>
                <w:snapToGrid w:val="0"/>
                <w:kern w:val="0"/>
                <w:szCs w:val="21"/>
              </w:rPr>
              <w:t>四</w:t>
            </w:r>
          </w:p>
        </w:tc>
        <w:tc>
          <w:tcPr>
            <w:tcW w:w="1114" w:type="dxa"/>
            <w:tcBorders>
              <w:top w:val="single" w:color="auto" w:sz="4" w:space="0"/>
              <w:left w:val="single" w:color="auto" w:sz="4" w:space="0"/>
              <w:right w:val="single" w:color="auto" w:sz="4" w:space="0"/>
            </w:tcBorders>
            <w:noWrap/>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企业业绩</w:t>
            </w:r>
          </w:p>
        </w:tc>
        <w:tc>
          <w:tcPr>
            <w:tcW w:w="686" w:type="dxa"/>
            <w:tcBorders>
              <w:top w:val="single" w:color="auto" w:sz="4" w:space="0"/>
              <w:left w:val="single" w:color="auto" w:sz="4" w:space="0"/>
              <w:right w:val="single" w:color="auto" w:sz="4" w:space="0"/>
            </w:tcBorders>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lang w:val="en-US" w:eastAsia="zh-CN"/>
              </w:rPr>
              <w:t>15</w:t>
            </w:r>
            <w:r>
              <w:rPr>
                <w:rFonts w:hint="eastAsia" w:ascii="宋体" w:hAnsi="宋体" w:cs="宋体"/>
                <w:bCs/>
                <w:kern w:val="0"/>
                <w:szCs w:val="21"/>
              </w:rPr>
              <w:t>分</w:t>
            </w:r>
          </w:p>
        </w:tc>
        <w:tc>
          <w:tcPr>
            <w:tcW w:w="6612" w:type="dxa"/>
            <w:tcBorders>
              <w:top w:val="single" w:color="auto" w:sz="4" w:space="0"/>
              <w:left w:val="single" w:color="auto" w:sz="4" w:space="0"/>
              <w:right w:val="single" w:color="auto" w:sz="4" w:space="0"/>
            </w:tcBorders>
            <w:noWrap/>
            <w:vAlign w:val="center"/>
          </w:tcPr>
          <w:p>
            <w:pPr>
              <w:numPr>
                <w:ilvl w:val="0"/>
                <w:numId w:val="3"/>
              </w:numPr>
              <w:rPr>
                <w:rFonts w:hint="eastAsia" w:ascii="宋体" w:hAnsi="宋体"/>
                <w:szCs w:val="21"/>
                <w:lang w:eastAsia="zh-CN"/>
              </w:rPr>
            </w:pPr>
            <w:r>
              <w:rPr>
                <w:rFonts w:hint="eastAsia" w:ascii="宋体" w:hAnsi="宋体"/>
                <w:szCs w:val="21"/>
                <w:lang w:eastAsia="zh-CN"/>
              </w:rPr>
              <w:t>投标单位</w:t>
            </w:r>
            <w:r>
              <w:rPr>
                <w:rFonts w:hint="eastAsia" w:ascii="宋体" w:hAnsi="宋体"/>
                <w:szCs w:val="21"/>
              </w:rPr>
              <w:t>2018年1月1日（合同签订时间为准）以来承担过单项合同投资额不低于</w:t>
            </w:r>
            <w:r>
              <w:rPr>
                <w:rFonts w:hint="eastAsia" w:ascii="宋体" w:hAnsi="宋体"/>
                <w:szCs w:val="21"/>
                <w:lang w:val="en-US" w:eastAsia="zh-CN"/>
              </w:rPr>
              <w:t>二千万</w:t>
            </w:r>
            <w:r>
              <w:rPr>
                <w:rFonts w:hint="eastAsia" w:ascii="宋体" w:hAnsi="宋体"/>
                <w:szCs w:val="21"/>
                <w:lang w:eastAsia="zh-CN"/>
              </w:rPr>
              <w:t>元的</w:t>
            </w:r>
            <w:r>
              <w:rPr>
                <w:rFonts w:hint="eastAsia" w:ascii="宋体" w:hAnsi="宋体"/>
                <w:szCs w:val="21"/>
              </w:rPr>
              <w:t>公共建筑工程（不含住宅、厂房）招标代理业绩，每有一项得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w:t>
            </w:r>
          </w:p>
          <w:p>
            <w:pPr>
              <w:numPr>
                <w:ilvl w:val="0"/>
                <w:numId w:val="3"/>
              </w:numPr>
              <w:rPr>
                <w:rFonts w:ascii="宋体" w:hAnsi="宋体"/>
                <w:szCs w:val="21"/>
              </w:rPr>
            </w:pPr>
            <w:r>
              <w:rPr>
                <w:rFonts w:hint="eastAsia" w:ascii="宋体" w:hAnsi="宋体"/>
                <w:szCs w:val="21"/>
                <w:lang w:eastAsia="zh-CN"/>
              </w:rPr>
              <w:t>投标单位</w:t>
            </w:r>
            <w:r>
              <w:rPr>
                <w:rFonts w:hint="eastAsia" w:ascii="宋体" w:hAnsi="宋体"/>
                <w:szCs w:val="21"/>
              </w:rPr>
              <w:t>2018年1月1日（合同签订时间为准）以来承担过单项合同投资额不低于</w:t>
            </w:r>
            <w:r>
              <w:rPr>
                <w:rFonts w:hint="eastAsia" w:ascii="宋体" w:hAnsi="宋体"/>
                <w:szCs w:val="21"/>
                <w:lang w:val="en-US" w:eastAsia="zh-CN"/>
              </w:rPr>
              <w:t>500万</w:t>
            </w:r>
            <w:r>
              <w:rPr>
                <w:rFonts w:hint="eastAsia" w:ascii="宋体" w:hAnsi="宋体"/>
                <w:szCs w:val="21"/>
                <w:lang w:eastAsia="zh-CN"/>
              </w:rPr>
              <w:t>元的</w:t>
            </w:r>
            <w:r>
              <w:rPr>
                <w:rFonts w:hint="eastAsia" w:ascii="宋体" w:hAnsi="宋体"/>
                <w:szCs w:val="21"/>
              </w:rPr>
              <w:t>公共建筑工程（不含住宅、厂房）招标代理业绩，每有一项得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w:t>
            </w:r>
            <w:r>
              <w:rPr>
                <w:rFonts w:hint="eastAsia" w:ascii="宋体" w:hAnsi="宋体"/>
                <w:szCs w:val="21"/>
              </w:rPr>
              <w:t>本项最高得</w:t>
            </w:r>
            <w:r>
              <w:rPr>
                <w:rFonts w:hint="eastAsia" w:ascii="宋体" w:hAnsi="宋体"/>
                <w:szCs w:val="21"/>
                <w:lang w:val="en-US" w:eastAsia="zh-CN"/>
              </w:rPr>
              <w:t>15</w:t>
            </w:r>
            <w:r>
              <w:rPr>
                <w:rFonts w:hint="eastAsia" w:ascii="宋体" w:hAnsi="宋体"/>
                <w:szCs w:val="21"/>
              </w:rPr>
              <w:t>分。</w:t>
            </w:r>
          </w:p>
          <w:p>
            <w:pPr>
              <w:rPr>
                <w:rFonts w:ascii="仿宋_GB2312" w:hAnsi="宋体"/>
                <w:b/>
                <w:snapToGrid w:val="0"/>
                <w:sz w:val="22"/>
              </w:rPr>
            </w:pPr>
            <w:r>
              <w:rPr>
                <w:rFonts w:hint="eastAsia" w:ascii="宋体" w:hAnsi="宋体"/>
                <w:kern w:val="0"/>
                <w:szCs w:val="21"/>
              </w:rPr>
              <w:t>（需提供合同复印件并公章，否则不得分。）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02" w:type="dxa"/>
            <w:tcBorders>
              <w:top w:val="single" w:color="auto" w:sz="4" w:space="0"/>
              <w:left w:val="single" w:color="auto" w:sz="4" w:space="0"/>
              <w:right w:val="single" w:color="auto" w:sz="4" w:space="0"/>
            </w:tcBorders>
            <w:noWrap/>
            <w:vAlign w:val="center"/>
          </w:tcPr>
          <w:p>
            <w:pPr>
              <w:spacing w:line="375" w:lineRule="atLeast"/>
              <w:jc w:val="center"/>
              <w:rPr>
                <w:rFonts w:ascii="宋体" w:hAnsi="宋体" w:cs="宋体"/>
                <w:snapToGrid w:val="0"/>
                <w:kern w:val="0"/>
                <w:szCs w:val="21"/>
              </w:rPr>
            </w:pPr>
            <w:r>
              <w:rPr>
                <w:rFonts w:hint="eastAsia" w:ascii="宋体" w:hAnsi="宋体" w:cs="宋体"/>
                <w:snapToGrid w:val="0"/>
                <w:kern w:val="0"/>
                <w:szCs w:val="21"/>
              </w:rPr>
              <w:t>六</w:t>
            </w:r>
          </w:p>
        </w:tc>
        <w:tc>
          <w:tcPr>
            <w:tcW w:w="1114" w:type="dxa"/>
            <w:tcBorders>
              <w:top w:val="single" w:color="auto" w:sz="4" w:space="0"/>
              <w:left w:val="single" w:color="auto" w:sz="4" w:space="0"/>
              <w:right w:val="single" w:color="auto" w:sz="4" w:space="0"/>
            </w:tcBorders>
            <w:noWrap/>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招标代理实施方案</w:t>
            </w:r>
          </w:p>
        </w:tc>
        <w:tc>
          <w:tcPr>
            <w:tcW w:w="686" w:type="dxa"/>
            <w:tcBorders>
              <w:top w:val="single" w:color="auto" w:sz="4" w:space="0"/>
              <w:left w:val="single" w:color="auto" w:sz="4" w:space="0"/>
              <w:right w:val="single" w:color="auto" w:sz="4" w:space="0"/>
            </w:tcBorders>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lang w:val="en-US" w:eastAsia="zh-CN"/>
              </w:rPr>
              <w:t>15</w:t>
            </w:r>
            <w:r>
              <w:rPr>
                <w:rFonts w:hint="eastAsia" w:ascii="宋体" w:hAnsi="宋体" w:cs="宋体"/>
                <w:bCs/>
                <w:kern w:val="0"/>
                <w:szCs w:val="21"/>
              </w:rPr>
              <w:t>分</w:t>
            </w:r>
          </w:p>
        </w:tc>
        <w:tc>
          <w:tcPr>
            <w:tcW w:w="6612" w:type="dxa"/>
            <w:tcBorders>
              <w:top w:val="single" w:color="auto" w:sz="4" w:space="0"/>
              <w:left w:val="single" w:color="auto" w:sz="4" w:space="0"/>
              <w:right w:val="single" w:color="auto" w:sz="4" w:space="0"/>
            </w:tcBorders>
            <w:noWrap/>
            <w:vAlign w:val="center"/>
          </w:tcPr>
          <w:p>
            <w:pPr>
              <w:tabs>
                <w:tab w:val="left" w:pos="-79"/>
              </w:tabs>
              <w:rPr>
                <w:rFonts w:ascii="宋体" w:hAnsi="宋体"/>
                <w:kern w:val="0"/>
                <w:szCs w:val="21"/>
              </w:rPr>
            </w:pPr>
            <w:r>
              <w:rPr>
                <w:rFonts w:hint="eastAsia" w:ascii="宋体" w:hAnsi="宋体"/>
                <w:kern w:val="0"/>
                <w:szCs w:val="21"/>
              </w:rPr>
              <w:t>根据招标代理实施方案（包括但不限于：招标代理岗位职责综合、质量保证措施综合评分、服务</w:t>
            </w:r>
            <w:r>
              <w:rPr>
                <w:rFonts w:hint="eastAsia" w:ascii="宋体" w:hAnsi="宋体"/>
                <w:kern w:val="0"/>
                <w:szCs w:val="21"/>
                <w:lang w:eastAsia="zh-CN"/>
              </w:rPr>
              <w:t>误差率承诺</w:t>
            </w:r>
            <w:r>
              <w:rPr>
                <w:rFonts w:hint="eastAsia" w:ascii="宋体" w:hAnsi="宋体"/>
                <w:kern w:val="0"/>
                <w:szCs w:val="21"/>
              </w:rPr>
              <w:t>及措施等相关内容）综合评分，最优者得最高分，其他酌情扣分，满分</w:t>
            </w:r>
            <w:r>
              <w:rPr>
                <w:rFonts w:hint="eastAsia" w:ascii="宋体" w:hAnsi="宋体"/>
                <w:kern w:val="0"/>
                <w:szCs w:val="21"/>
                <w:lang w:val="en-US" w:eastAsia="zh-CN"/>
              </w:rPr>
              <w:t>15</w:t>
            </w:r>
            <w:r>
              <w:rPr>
                <w:rFonts w:ascii="宋体" w:hAnsi="宋体"/>
                <w:kern w:val="0"/>
                <w:szCs w:val="21"/>
              </w:rPr>
              <w:t>分</w:t>
            </w:r>
            <w:r>
              <w:rPr>
                <w:rFonts w:hint="eastAsia" w:ascii="宋体" w:hAnsi="宋体"/>
                <w:kern w:val="0"/>
                <w:szCs w:val="21"/>
              </w:rPr>
              <w:t>。</w:t>
            </w:r>
          </w:p>
        </w:tc>
      </w:tr>
    </w:tbl>
    <w:p>
      <w:pPr>
        <w:spacing w:line="360" w:lineRule="auto"/>
        <w:outlineLvl w:val="3"/>
        <w:rPr>
          <w:rFonts w:hint="eastAsia"/>
        </w:rPr>
      </w:pPr>
      <w:r>
        <w:rPr>
          <w:rFonts w:ascii="Arial" w:hAnsi="Arial" w:cs="Arial"/>
          <w:sz w:val="22"/>
          <w:szCs w:val="28"/>
        </w:rPr>
        <w:t>说明：1</w:t>
      </w:r>
      <w:r>
        <w:rPr>
          <w:rFonts w:ascii="Arial" w:hAnsi="Arial" w:cs="Arial"/>
          <w:lang w:val="zh-CN"/>
        </w:rPr>
        <w:t>.</w:t>
      </w:r>
      <w:r>
        <w:rPr>
          <w:rFonts w:ascii="Arial" w:hAnsi="Arial" w:cs="Arial"/>
          <w:sz w:val="22"/>
          <w:szCs w:val="28"/>
        </w:rPr>
        <w:t>所有认证、证明和业绩均以有效清晰的证明文件的复印件为依据。</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highlight w:val="none"/>
        </w:rPr>
        <w:t>投标当日，医院评标小组现场评</w:t>
      </w:r>
      <w:r>
        <w:rPr>
          <w:rFonts w:hint="eastAsia" w:ascii="仿宋" w:hAnsi="仿宋" w:eastAsia="仿宋" w:cs="仿宋"/>
          <w:sz w:val="28"/>
          <w:szCs w:val="28"/>
          <w:highlight w:val="none"/>
          <w:lang w:val="en-US" w:eastAsia="zh-CN"/>
        </w:rPr>
        <w:t>议</w:t>
      </w:r>
      <w:r>
        <w:rPr>
          <w:rFonts w:hint="eastAsia" w:ascii="仿宋" w:hAnsi="仿宋" w:eastAsia="仿宋" w:cs="仿宋"/>
          <w:sz w:val="28"/>
          <w:szCs w:val="28"/>
          <w:highlight w:val="none"/>
        </w:rPr>
        <w:t>，并就投标</w:t>
      </w:r>
      <w:r>
        <w:rPr>
          <w:rFonts w:hint="eastAsia" w:ascii="仿宋" w:hAnsi="仿宋" w:eastAsia="仿宋" w:cs="仿宋"/>
          <w:sz w:val="28"/>
          <w:szCs w:val="28"/>
        </w:rPr>
        <w:t>书相关问题分别与各投标代表进行询问及沟通。投标之日起一周内确定并通知中标人。同时通知未中标的投标人，对不中标的原因不作任何解释，投标文件不退还。</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七、招标方联系方式</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招标方联系人：</w:t>
      </w:r>
      <w:r>
        <w:rPr>
          <w:rFonts w:hint="eastAsia" w:ascii="仿宋" w:hAnsi="仿宋" w:eastAsia="仿宋" w:cs="仿宋"/>
          <w:b/>
          <w:sz w:val="28"/>
          <w:szCs w:val="28"/>
        </w:rPr>
        <w:t xml:space="preserve">戴志峰    </w:t>
      </w:r>
      <w:r>
        <w:rPr>
          <w:rFonts w:hint="eastAsia" w:ascii="仿宋" w:hAnsi="仿宋" w:eastAsia="仿宋" w:cs="仿宋"/>
          <w:sz w:val="28"/>
          <w:szCs w:val="28"/>
        </w:rPr>
        <w:t xml:space="preserve">     联系电话：15396770770</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邮箱：</w:t>
      </w:r>
      <w:r>
        <w:rPr>
          <w:rFonts w:hint="eastAsia" w:ascii="仿宋" w:hAnsi="仿宋" w:eastAsia="仿宋" w:cs="仿宋"/>
          <w:color w:val="auto"/>
          <w:sz w:val="28"/>
          <w:szCs w:val="28"/>
          <w:u w:val="none"/>
        </w:rPr>
        <w:t>462326454@qq.com</w:t>
      </w:r>
    </w:p>
    <w:p>
      <w:pPr>
        <w:pStyle w:val="7"/>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lvlText w:val="%1、"/>
      <w:lvlJc w:val="left"/>
      <w:pPr>
        <w:tabs>
          <w:tab w:val="left" w:pos="1002"/>
        </w:tabs>
        <w:ind w:left="1065" w:hanging="435"/>
      </w:pPr>
      <w:rPr>
        <w:rFonts w:hint="eastAsia"/>
      </w:rPr>
    </w:lvl>
  </w:abstractNum>
  <w:abstractNum w:abstractNumId="1">
    <w:nsid w:val="00000007"/>
    <w:multiLevelType w:val="singleLevel"/>
    <w:tmpl w:val="00000007"/>
    <w:lvl w:ilvl="0" w:tentative="0">
      <w:start w:val="1"/>
      <w:numFmt w:val="decimal"/>
      <w:lvlText w:val="%1、"/>
      <w:lvlJc w:val="left"/>
      <w:pPr>
        <w:tabs>
          <w:tab w:val="left" w:pos="1017"/>
        </w:tabs>
        <w:ind w:left="1017" w:hanging="450"/>
      </w:pPr>
      <w:rPr>
        <w:rFonts w:hint="eastAsia"/>
      </w:rPr>
    </w:lvl>
  </w:abstractNum>
  <w:abstractNum w:abstractNumId="2">
    <w:nsid w:val="57E553DB"/>
    <w:multiLevelType w:val="singleLevel"/>
    <w:tmpl w:val="57E553D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DA2Y2M0OWNlYjRlZGU0NmQ0OWEzZDk0ZDhlYTcifQ=="/>
  </w:docVars>
  <w:rsids>
    <w:rsidRoot w:val="00000000"/>
    <w:rsid w:val="01C4711E"/>
    <w:rsid w:val="056D353A"/>
    <w:rsid w:val="0B113C33"/>
    <w:rsid w:val="0EC576FE"/>
    <w:rsid w:val="0F360E40"/>
    <w:rsid w:val="14904B4F"/>
    <w:rsid w:val="21E46AD5"/>
    <w:rsid w:val="2AAD1B5F"/>
    <w:rsid w:val="2CC87124"/>
    <w:rsid w:val="31404196"/>
    <w:rsid w:val="3264344B"/>
    <w:rsid w:val="33C1667B"/>
    <w:rsid w:val="34190265"/>
    <w:rsid w:val="34A217BE"/>
    <w:rsid w:val="355F614C"/>
    <w:rsid w:val="374B6987"/>
    <w:rsid w:val="3914724D"/>
    <w:rsid w:val="3B031F82"/>
    <w:rsid w:val="40A814B1"/>
    <w:rsid w:val="4476700E"/>
    <w:rsid w:val="4A740C47"/>
    <w:rsid w:val="4B7122DD"/>
    <w:rsid w:val="4E9B7D9D"/>
    <w:rsid w:val="59F56FCB"/>
    <w:rsid w:val="5D7D49EF"/>
    <w:rsid w:val="5E467178"/>
    <w:rsid w:val="61D7435B"/>
    <w:rsid w:val="650A75D2"/>
    <w:rsid w:val="67291E04"/>
    <w:rsid w:val="6784366C"/>
    <w:rsid w:val="69EB126F"/>
    <w:rsid w:val="6AA61B4B"/>
    <w:rsid w:val="6C674C3D"/>
    <w:rsid w:val="6CF272B0"/>
    <w:rsid w:val="6D047526"/>
    <w:rsid w:val="75E50DE6"/>
    <w:rsid w:val="788B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楷体_GB2312" w:hAnsi="Arial" w:eastAsia="楷体_GB2312"/>
      <w:kern w:val="0"/>
      <w:sz w:val="28"/>
      <w:szCs w:val="28"/>
    </w:rPr>
  </w:style>
  <w:style w:type="paragraph" w:styleId="3">
    <w:name w:val="Plain Text"/>
    <w:basedOn w:val="1"/>
    <w:qFormat/>
    <w:uiPriority w:val="0"/>
    <w:rPr>
      <w:rFonts w:ascii="宋体" w:hAnsi="Courier New"/>
      <w:szCs w:val="20"/>
    </w:rPr>
  </w:style>
  <w:style w:type="paragraph" w:styleId="4">
    <w:name w:val="Body Text Indent"/>
    <w:basedOn w:val="1"/>
    <w:qFormat/>
    <w:uiPriority w:val="0"/>
    <w:pPr>
      <w:spacing w:line="360" w:lineRule="auto"/>
      <w:ind w:firstLine="48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2600</Words>
  <Characters>2723</Characters>
  <Lines>0</Lines>
  <Paragraphs>0</Paragraphs>
  <TotalTime>24</TotalTime>
  <ScaleCrop>false</ScaleCrop>
  <LinksUpToDate>false</LinksUpToDate>
  <CharactersWithSpaces>2751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2023-04-23T00:19:00Z</dcterms:created>
  <dc:creator>Administrator</dc:creator>
  <cp:lastModifiedBy>李大祥</cp:lastModifiedBy>
  <dcterms:modified xsi:type="dcterms:W3CDTF">2023-05-17T06:48:41Z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C6E810823FF5453B973ACC79077F980D_12</vt:lpwstr>
  </property>
</Properties>
</file>