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病种：慢性阻塞性肺病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初审医生：呼吸内科（老年病科）：丁倩，颜义龙、单洪武、王翔、倪晓洁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复审医生：呼吸内科（老年病科）：单洪武、王翔、倪晓洁</w:t>
      </w:r>
    </w:p>
    <w:p>
      <w:r>
        <w:rPr>
          <w:rFonts w:hint="eastAsia"/>
          <w:b/>
          <w:bCs/>
        </w:rPr>
        <w:t>准入标准：</w:t>
      </w:r>
      <w:r>
        <w:rPr>
          <w:rFonts w:hint="eastAsia"/>
        </w:rPr>
        <w:t>1、有慢性咳嗽、咳痰和（或）呼吸困难及危险因素（吸烟、职业粉尘、污染空气环境等）暴露史，每年持续超过三个月，不完全可逆的气流受限，既往经诊断为慢性阻塞性肺病 1年以上。</w:t>
      </w:r>
    </w:p>
    <w:p>
      <w:r>
        <w:rPr>
          <w:rFonts w:hint="eastAsia"/>
        </w:rPr>
        <w:t>2、虽然没有长期的慢性咳嗽、咳痰和（或）呼吸困难病史，但稳定期肺功能检查 FEV1/FVC&lt;70%、FEV1%pred&lt;50且上一年急性加重次数≥2 次或住院 1 次以上；肺部影像检查：符合慢性阻塞性肺病的影像学表现，并除外其他心肺疾病，经确诊为慢性阻塞性肺病 1 年以上。</w:t>
      </w:r>
    </w:p>
    <w:p>
      <w:r>
        <w:rPr>
          <w:rFonts w:hint="eastAsia"/>
        </w:rPr>
        <w:t>3、稳定期肺功能检查 FEV1/FVC&lt;70%、FEV1%pred&lt;50%而且上一年急性加重次数≥2 次或住院 1 次以上。</w:t>
      </w:r>
    </w:p>
    <w:p>
      <w:r>
        <w:rPr>
          <w:rFonts w:hint="eastAsia"/>
        </w:rPr>
        <w:t>4、肺部影像学检查：符合慢性阻塞性肺病的影像学表现。</w:t>
      </w:r>
    </w:p>
    <w:p>
      <w:r>
        <w:rPr>
          <w:rFonts w:hint="eastAsia"/>
        </w:rPr>
        <w:t>5、排除缺血性疾病，重点是冠状动脉硬化性心脏病。</w:t>
      </w:r>
    </w:p>
    <w:p>
      <w:r>
        <w:rPr>
          <w:rFonts w:hint="eastAsia"/>
        </w:rPr>
        <w:t>准入标准：同时具备条件 1、3、4、5 或具备条件 2。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2、胸部 CT 或胸部 X 线检查单。</w:t>
      </w:r>
    </w:p>
    <w:p>
      <w:r>
        <w:rPr>
          <w:rFonts w:hint="eastAsia"/>
        </w:rPr>
        <w:t>3、肺功能检查报告单。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62981"/>
    <w:rsid w:val="001F654D"/>
    <w:rsid w:val="00240742"/>
    <w:rsid w:val="004A1787"/>
    <w:rsid w:val="004A4B7E"/>
    <w:rsid w:val="004C19D9"/>
    <w:rsid w:val="00502345"/>
    <w:rsid w:val="00615E37"/>
    <w:rsid w:val="00717B3F"/>
    <w:rsid w:val="007B1EF8"/>
    <w:rsid w:val="007D6C1F"/>
    <w:rsid w:val="00822EA9"/>
    <w:rsid w:val="008C55E1"/>
    <w:rsid w:val="00BB4315"/>
    <w:rsid w:val="00D062ED"/>
    <w:rsid w:val="00D37399"/>
    <w:rsid w:val="00D92A1A"/>
    <w:rsid w:val="00DE5A85"/>
    <w:rsid w:val="00E40B6A"/>
    <w:rsid w:val="00E923EB"/>
    <w:rsid w:val="00EF606F"/>
    <w:rsid w:val="00F56F34"/>
    <w:rsid w:val="00F66104"/>
    <w:rsid w:val="00FA0F3E"/>
    <w:rsid w:val="2C837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572</Characters>
  <Lines>4</Lines>
  <Paragraphs>1</Paragraphs>
  <TotalTime>26</TotalTime>
  <ScaleCrop>false</ScaleCrop>
  <LinksUpToDate>false</LinksUpToDate>
  <CharactersWithSpaces>671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2021-04-07T07:53:37Z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CB6F3B6ADECD439C9A5EB5D82830679C</vt:lpwstr>
  </property>
</Properties>
</file>