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病种：冠心病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初审医生：心血管内科：任振强、张静梅、李健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复审医生：心血管内科：张静梅、李健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1、有典型的心绞痛或心肌梗塞等心脏病史。</w:t>
      </w:r>
    </w:p>
    <w:p>
      <w:r>
        <w:rPr>
          <w:rFonts w:hint="eastAsia"/>
        </w:rPr>
        <w:t>2、有动态变化的ST段下移大于0.1mv，或上抬大于0.2mv，或新发生的完全性左束支传导阻滞。</w:t>
      </w:r>
    </w:p>
    <w:p>
      <w:r>
        <w:rPr>
          <w:rFonts w:hint="eastAsia"/>
        </w:rPr>
        <w:t>3、活动平板运动试验检查阳性（活动时有胸痛及 ST 改变）可辅助本病的诊断。</w:t>
      </w:r>
    </w:p>
    <w:p>
      <w:r>
        <w:rPr>
          <w:rFonts w:hint="eastAsia"/>
        </w:rPr>
        <w:t>4、冠状动脉造影或冠状动脉 CTA 提示冠状动脉狭窄 50%以上。</w:t>
      </w:r>
    </w:p>
    <w:p>
      <w:r>
        <w:rPr>
          <w:rFonts w:hint="eastAsia"/>
        </w:rPr>
        <w:t>准入标准：具有上述第 4 条+第 1、2、3 条中任意一条。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2、冠状动脉造影或冠脉 CTA 等检查报告单结论提示：冠</w:t>
      </w:r>
    </w:p>
    <w:p>
      <w:r>
        <w:rPr>
          <w:rFonts w:hint="eastAsia"/>
        </w:rPr>
        <w:t>脉血管狭窄≥50%的冠脉造影报告单或明确提示冠脉血管中重</w:t>
      </w:r>
    </w:p>
    <w:p>
      <w:r>
        <w:rPr>
          <w:rFonts w:hint="eastAsia"/>
        </w:rPr>
        <w:t>度狭窄的检查报告；心电图报告单结论提示：心肌梗塞。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jc w:val="righ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C5268"/>
    <w:rsid w:val="00140C58"/>
    <w:rsid w:val="00145AE6"/>
    <w:rsid w:val="001B2740"/>
    <w:rsid w:val="001F654D"/>
    <w:rsid w:val="002E7914"/>
    <w:rsid w:val="00495955"/>
    <w:rsid w:val="004A1787"/>
    <w:rsid w:val="004C19D9"/>
    <w:rsid w:val="00615E37"/>
    <w:rsid w:val="006F7C6D"/>
    <w:rsid w:val="00717B3F"/>
    <w:rsid w:val="00767811"/>
    <w:rsid w:val="007B1EF8"/>
    <w:rsid w:val="00822EA9"/>
    <w:rsid w:val="008C55E1"/>
    <w:rsid w:val="00AB6BA0"/>
    <w:rsid w:val="00C94C00"/>
    <w:rsid w:val="00D8023D"/>
    <w:rsid w:val="00DE5A85"/>
    <w:rsid w:val="00E73BF7"/>
    <w:rsid w:val="00EF606F"/>
    <w:rsid w:val="369A30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434</Characters>
  <Lines>3</Lines>
  <Paragraphs>1</Paragraphs>
  <TotalTime>27</TotalTime>
  <ScaleCrop>false</ScaleCrop>
  <LinksUpToDate>false</LinksUpToDate>
  <CharactersWithSpaces>508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2021-04-07T02:04:50Z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2D2CCD19AB954277B6BAA2604EFC8032</vt:lpwstr>
  </property>
</Properties>
</file>